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C0E3FA" w14:textId="77777777" w:rsidR="00D93A89" w:rsidRPr="00F836E1" w:rsidRDefault="00D93A89" w:rsidP="00D93A89">
      <w:pPr>
        <w:spacing w:before="100" w:beforeAutospacing="1" w:after="100" w:afterAutospacing="1" w:line="240" w:lineRule="auto"/>
        <w:jc w:val="center"/>
        <w:outlineLvl w:val="2"/>
        <w:rPr>
          <w:rFonts w:ascii="Arial" w:eastAsia="Times New Roman" w:hAnsi="Arial" w:cs="Arial"/>
          <w:b/>
          <w:bCs/>
          <w:lang w:eastAsia="pt-BR"/>
        </w:rPr>
      </w:pPr>
    </w:p>
    <w:p w14:paraId="1F2BE08E" w14:textId="77777777" w:rsidR="00F836E1" w:rsidRPr="00F836E1" w:rsidRDefault="00D93A89" w:rsidP="00F836E1">
      <w:pPr>
        <w:spacing w:after="0" w:line="240" w:lineRule="auto"/>
        <w:jc w:val="center"/>
        <w:outlineLvl w:val="2"/>
        <w:rPr>
          <w:rFonts w:ascii="Arial" w:eastAsia="Times New Roman" w:hAnsi="Arial" w:cs="Arial"/>
          <w:b/>
          <w:bCs/>
          <w:lang w:eastAsia="pt-BR"/>
        </w:rPr>
      </w:pPr>
      <w:r w:rsidRPr="00F836E1">
        <w:rPr>
          <w:rFonts w:ascii="Arial" w:eastAsia="Times New Roman" w:hAnsi="Arial" w:cs="Arial"/>
          <w:b/>
          <w:bCs/>
          <w:lang w:eastAsia="pt-BR"/>
        </w:rPr>
        <w:t xml:space="preserve">INSTRUÇÃO NORMATIVA </w:t>
      </w:r>
      <w:r w:rsidR="00F836E1" w:rsidRPr="00F836E1">
        <w:rPr>
          <w:rFonts w:ascii="Arial" w:eastAsia="Times New Roman" w:hAnsi="Arial" w:cs="Arial"/>
          <w:b/>
          <w:bCs/>
          <w:lang w:eastAsia="pt-BR"/>
        </w:rPr>
        <w:t>CONJUNTA</w:t>
      </w:r>
    </w:p>
    <w:p w14:paraId="1565B835" w14:textId="7D3FE22A" w:rsidR="00D93A89" w:rsidRPr="00F836E1" w:rsidRDefault="00D93A89" w:rsidP="00F836E1">
      <w:pPr>
        <w:spacing w:after="0" w:line="240" w:lineRule="auto"/>
        <w:jc w:val="center"/>
        <w:outlineLvl w:val="2"/>
        <w:rPr>
          <w:rFonts w:ascii="Arial" w:eastAsia="Times New Roman" w:hAnsi="Arial" w:cs="Arial"/>
          <w:b/>
          <w:bCs/>
          <w:lang w:eastAsia="pt-BR"/>
        </w:rPr>
      </w:pPr>
      <w:r w:rsidRPr="00F836E1">
        <w:rPr>
          <w:rFonts w:ascii="Arial" w:eastAsia="Times New Roman" w:hAnsi="Arial" w:cs="Arial"/>
          <w:b/>
          <w:bCs/>
          <w:lang w:eastAsia="pt-BR"/>
        </w:rPr>
        <w:t>SGC</w:t>
      </w:r>
      <w:r w:rsidR="00F836E1" w:rsidRPr="00F836E1">
        <w:rPr>
          <w:rFonts w:ascii="Arial" w:eastAsia="Times New Roman" w:hAnsi="Arial" w:cs="Arial"/>
          <w:b/>
          <w:bCs/>
          <w:lang w:eastAsia="pt-BR"/>
        </w:rPr>
        <w:t xml:space="preserve">/SED/SEPAF </w:t>
      </w:r>
      <w:r w:rsidRPr="00F836E1">
        <w:rPr>
          <w:rFonts w:ascii="Arial" w:eastAsia="Times New Roman" w:hAnsi="Arial" w:cs="Arial"/>
          <w:b/>
          <w:bCs/>
          <w:lang w:eastAsia="pt-BR"/>
        </w:rPr>
        <w:t>N° 00</w:t>
      </w:r>
      <w:r w:rsidR="0059144F">
        <w:rPr>
          <w:rFonts w:ascii="Arial" w:eastAsia="Times New Roman" w:hAnsi="Arial" w:cs="Arial"/>
          <w:b/>
          <w:bCs/>
          <w:lang w:eastAsia="pt-BR"/>
        </w:rPr>
        <w:t>2</w:t>
      </w:r>
      <w:r w:rsidRPr="00F836E1">
        <w:rPr>
          <w:rFonts w:ascii="Arial" w:eastAsia="Times New Roman" w:hAnsi="Arial" w:cs="Arial"/>
          <w:b/>
          <w:bCs/>
          <w:lang w:eastAsia="pt-BR"/>
        </w:rPr>
        <w:t>/2026</w:t>
      </w:r>
    </w:p>
    <w:p w14:paraId="2F542801" w14:textId="397C84BA" w:rsidR="00D93A89" w:rsidRPr="00F836E1" w:rsidRDefault="00F836E1" w:rsidP="00D93A89">
      <w:pPr>
        <w:spacing w:before="100" w:beforeAutospacing="1" w:after="100" w:afterAutospacing="1" w:line="240" w:lineRule="auto"/>
        <w:ind w:left="3402"/>
        <w:jc w:val="both"/>
        <w:rPr>
          <w:rFonts w:ascii="Arial" w:eastAsia="Times New Roman" w:hAnsi="Arial" w:cs="Arial"/>
          <w:lang w:eastAsia="pt-BR"/>
        </w:rPr>
      </w:pPr>
      <w:r w:rsidRPr="00F836E1">
        <w:rPr>
          <w:rFonts w:ascii="Arial" w:eastAsia="Times New Roman" w:hAnsi="Arial" w:cs="Arial"/>
          <w:lang w:eastAsia="pt-BR"/>
        </w:rPr>
        <w:t xml:space="preserve">Estabelece </w:t>
      </w:r>
      <w:r w:rsidR="00D93A89" w:rsidRPr="00F836E1">
        <w:rPr>
          <w:rFonts w:ascii="Arial" w:eastAsia="Times New Roman" w:hAnsi="Arial" w:cs="Arial"/>
          <w:lang w:eastAsia="pt-BR"/>
        </w:rPr>
        <w:t>fluxos operacionais, responsabilidades, condicionalidades e procedimentos de controle para o cumprimento da Emenda Constitucional nº 135/2024, da Resolução CIF nº 23/2026 e das diretrizes nacionais da Educação Integral em Tempo Integral (ETI) no Município de Navegantes/SC.</w:t>
      </w:r>
    </w:p>
    <w:p w14:paraId="7D581C5B" w14:textId="77777777" w:rsidR="00D93A89" w:rsidRPr="00F836E1" w:rsidRDefault="00D93A89" w:rsidP="00D93A89">
      <w:pPr>
        <w:spacing w:before="100" w:beforeAutospacing="1" w:after="100" w:afterAutospacing="1" w:line="240" w:lineRule="auto"/>
        <w:jc w:val="both"/>
        <w:rPr>
          <w:rFonts w:ascii="Arial" w:eastAsia="Times New Roman" w:hAnsi="Arial" w:cs="Arial"/>
          <w:lang w:eastAsia="pt-BR"/>
        </w:rPr>
      </w:pPr>
      <w:r w:rsidRPr="00F836E1">
        <w:rPr>
          <w:rFonts w:ascii="Arial" w:eastAsia="Times New Roman" w:hAnsi="Arial" w:cs="Arial"/>
          <w:b/>
          <w:bCs/>
          <w:lang w:eastAsia="pt-BR"/>
        </w:rPr>
        <w:t>Considerando</w:t>
      </w:r>
      <w:r w:rsidRPr="00F836E1">
        <w:rPr>
          <w:rFonts w:ascii="Arial" w:eastAsia="Times New Roman" w:hAnsi="Arial" w:cs="Arial"/>
          <w:lang w:eastAsia="pt-BR"/>
        </w:rPr>
        <w:t xml:space="preserve"> a obrigatoriedade constitucional, nos termos do art. 212-A, inciso XV, da Constituição Federal (introduzido pela Emenda Constitucional nº 135/2024), que impõe a destinação de, no mínimo, 4% (quatro por cento) dos recursos totais do Fundeb para a criação e manutenção de matrículas em tempo integral na educação básica; </w:t>
      </w:r>
    </w:p>
    <w:p w14:paraId="3844C5D2" w14:textId="77777777" w:rsidR="00D93A89" w:rsidRPr="00F836E1" w:rsidRDefault="00D93A89" w:rsidP="00D93A89">
      <w:pPr>
        <w:spacing w:before="100" w:beforeAutospacing="1" w:after="100" w:afterAutospacing="1" w:line="240" w:lineRule="auto"/>
        <w:jc w:val="both"/>
        <w:rPr>
          <w:rFonts w:ascii="Arial" w:eastAsia="Times New Roman" w:hAnsi="Arial" w:cs="Arial"/>
          <w:lang w:eastAsia="pt-BR"/>
        </w:rPr>
      </w:pPr>
      <w:r w:rsidRPr="00F836E1">
        <w:rPr>
          <w:rFonts w:ascii="Arial" w:eastAsia="Times New Roman" w:hAnsi="Arial" w:cs="Arial"/>
          <w:b/>
          <w:bCs/>
          <w:lang w:eastAsia="pt-BR"/>
        </w:rPr>
        <w:t>Considerando</w:t>
      </w:r>
      <w:r w:rsidRPr="00F836E1">
        <w:rPr>
          <w:rFonts w:ascii="Arial" w:eastAsia="Times New Roman" w:hAnsi="Arial" w:cs="Arial"/>
          <w:lang w:eastAsia="pt-BR"/>
        </w:rPr>
        <w:t xml:space="preserve"> as diretrizes nacionais pactuadas pela Comissão Intergovernamental de Financiamento para a Educação Básica de Qualidade (CIF) e regulamentadas por meio da Resolução CIF nº 23, de 17 de março de 2026;</w:t>
      </w:r>
    </w:p>
    <w:p w14:paraId="4165DF62" w14:textId="77777777" w:rsidR="00D93A89" w:rsidRPr="00F836E1" w:rsidRDefault="00D93A89" w:rsidP="00D93A89">
      <w:pPr>
        <w:spacing w:before="100" w:beforeAutospacing="1" w:after="100" w:afterAutospacing="1" w:line="240" w:lineRule="auto"/>
        <w:jc w:val="both"/>
        <w:rPr>
          <w:rFonts w:ascii="Arial" w:eastAsia="Times New Roman" w:hAnsi="Arial" w:cs="Arial"/>
          <w:lang w:eastAsia="pt-BR"/>
        </w:rPr>
      </w:pPr>
      <w:r w:rsidRPr="00F836E1">
        <w:rPr>
          <w:rFonts w:ascii="Arial" w:eastAsia="Times New Roman" w:hAnsi="Arial" w:cs="Arial"/>
          <w:b/>
          <w:bCs/>
          <w:lang w:eastAsia="pt-BR"/>
        </w:rPr>
        <w:t>Considerando</w:t>
      </w:r>
      <w:r w:rsidRPr="00F836E1">
        <w:rPr>
          <w:rFonts w:ascii="Arial" w:eastAsia="Times New Roman" w:hAnsi="Arial" w:cs="Arial"/>
          <w:lang w:eastAsia="pt-BR"/>
        </w:rPr>
        <w:t xml:space="preserve"> o prazo limite de até 1º de julho de 2026 estabelecido pela Resolução CNE/CEB nº 1/2026 (que altera o artigo 28 da Resolução CNE/CEB nº 7/2025) para que os sistemas municipais de ensino revisem, atualizem e publiquem seus normativos internos e matrizes curriculares unificadas; </w:t>
      </w:r>
    </w:p>
    <w:p w14:paraId="7C378120" w14:textId="77777777" w:rsidR="00D93A89" w:rsidRPr="00F836E1" w:rsidRDefault="00D93A89" w:rsidP="00D93A89">
      <w:pPr>
        <w:spacing w:before="100" w:beforeAutospacing="1" w:after="100" w:afterAutospacing="1" w:line="240" w:lineRule="auto"/>
        <w:jc w:val="both"/>
        <w:rPr>
          <w:rFonts w:ascii="Arial" w:eastAsia="Times New Roman" w:hAnsi="Arial" w:cs="Arial"/>
          <w:lang w:eastAsia="pt-BR"/>
        </w:rPr>
      </w:pPr>
      <w:r w:rsidRPr="00F836E1">
        <w:rPr>
          <w:rFonts w:ascii="Arial" w:eastAsia="Times New Roman" w:hAnsi="Arial" w:cs="Arial"/>
          <w:b/>
          <w:bCs/>
          <w:lang w:eastAsia="pt-BR"/>
        </w:rPr>
        <w:t>Considerando</w:t>
      </w:r>
      <w:r w:rsidRPr="00F836E1">
        <w:rPr>
          <w:rFonts w:ascii="Arial" w:eastAsia="Times New Roman" w:hAnsi="Arial" w:cs="Arial"/>
          <w:lang w:eastAsia="pt-BR"/>
        </w:rPr>
        <w:t xml:space="preserve"> a necessidade de estabelecer a plena integração entre os dados técnico-pedagógicos do Censo Escolar (INEP/MEC), o Plano de Expansão registrado no sistema SIMEC e a devida segregação contábil das despesas fiscais no Sistema de Informações sobre Orçamentos Públicos em Educação (SIOPE); </w:t>
      </w:r>
    </w:p>
    <w:p w14:paraId="7861903F" w14:textId="77777777" w:rsidR="00D93A89" w:rsidRPr="00F836E1" w:rsidRDefault="00D93A89" w:rsidP="00D93A89">
      <w:pPr>
        <w:spacing w:before="100" w:beforeAutospacing="1" w:after="100" w:afterAutospacing="1" w:line="240" w:lineRule="auto"/>
        <w:jc w:val="both"/>
        <w:rPr>
          <w:rFonts w:ascii="Arial" w:eastAsia="Times New Roman" w:hAnsi="Arial" w:cs="Arial"/>
          <w:lang w:eastAsia="pt-BR"/>
        </w:rPr>
      </w:pPr>
      <w:r w:rsidRPr="00F836E1">
        <w:rPr>
          <w:rFonts w:ascii="Arial" w:eastAsia="Times New Roman" w:hAnsi="Arial" w:cs="Arial"/>
          <w:b/>
          <w:bCs/>
          <w:lang w:eastAsia="pt-BR"/>
        </w:rPr>
        <w:t>Considerando</w:t>
      </w:r>
      <w:r w:rsidRPr="00F836E1">
        <w:rPr>
          <w:rFonts w:ascii="Arial" w:eastAsia="Times New Roman" w:hAnsi="Arial" w:cs="Arial"/>
          <w:lang w:eastAsia="pt-BR"/>
        </w:rPr>
        <w:t xml:space="preserve">, por fim, que o descumprimento do índice constitucional de 4% ou a ausência de rastreabilidade contábil e documental sujeita a administração municipal a apontamentos fiscais, configuração de ato de improbidade administrativa (Lei nº 14.230/2021) e à possível rejeição das contas anuais pelo Tribunal de Contas do Estado de Santa Catarina (TCE-SC); </w:t>
      </w:r>
    </w:p>
    <w:p w14:paraId="441DD323" w14:textId="0B2AFFED" w:rsidR="00D93A89" w:rsidRPr="00F836E1" w:rsidRDefault="00D93A89" w:rsidP="00D93A89">
      <w:pPr>
        <w:spacing w:before="100" w:beforeAutospacing="1" w:after="100" w:afterAutospacing="1" w:line="240" w:lineRule="auto"/>
        <w:rPr>
          <w:rFonts w:ascii="Arial" w:eastAsia="Times New Roman" w:hAnsi="Arial" w:cs="Arial"/>
          <w:b/>
          <w:bCs/>
          <w:lang w:eastAsia="pt-BR"/>
        </w:rPr>
      </w:pPr>
      <w:r w:rsidRPr="00F836E1">
        <w:rPr>
          <w:rFonts w:ascii="Arial" w:eastAsia="Times New Roman" w:hAnsi="Arial" w:cs="Arial"/>
          <w:b/>
          <w:bCs/>
          <w:lang w:eastAsia="pt-BR"/>
        </w:rPr>
        <w:t>RESOLVE:</w:t>
      </w:r>
    </w:p>
    <w:p w14:paraId="0BA8DED9" w14:textId="77777777" w:rsidR="00F836E1" w:rsidRPr="00F836E1" w:rsidRDefault="00F836E1" w:rsidP="00D93A89">
      <w:pPr>
        <w:spacing w:before="100" w:beforeAutospacing="1" w:after="100" w:afterAutospacing="1" w:line="240" w:lineRule="auto"/>
        <w:rPr>
          <w:rFonts w:ascii="Arial" w:eastAsia="Times New Roman" w:hAnsi="Arial" w:cs="Arial"/>
          <w:b/>
          <w:bCs/>
          <w:lang w:eastAsia="pt-BR"/>
        </w:rPr>
      </w:pPr>
    </w:p>
    <w:p w14:paraId="0AFB38D8" w14:textId="77777777" w:rsidR="00D93A89" w:rsidRPr="00F836E1" w:rsidRDefault="00D93A89" w:rsidP="00F836E1">
      <w:pPr>
        <w:pStyle w:val="Ttulo3"/>
        <w:spacing w:before="0"/>
        <w:jc w:val="center"/>
        <w:rPr>
          <w:rFonts w:ascii="Arial" w:eastAsia="Times New Roman" w:hAnsi="Arial" w:cs="Arial"/>
          <w:b/>
          <w:color w:val="auto"/>
          <w:sz w:val="22"/>
          <w:szCs w:val="22"/>
          <w:lang w:eastAsia="pt-BR"/>
        </w:rPr>
      </w:pPr>
      <w:r w:rsidRPr="00F836E1">
        <w:rPr>
          <w:rFonts w:ascii="Arial" w:eastAsia="Times New Roman" w:hAnsi="Arial" w:cs="Arial"/>
          <w:b/>
          <w:color w:val="auto"/>
          <w:sz w:val="22"/>
          <w:szCs w:val="22"/>
          <w:lang w:eastAsia="pt-BR"/>
        </w:rPr>
        <w:t>CAPÍTULO I</w:t>
      </w:r>
    </w:p>
    <w:p w14:paraId="62C05F87" w14:textId="77777777" w:rsidR="00D93A89" w:rsidRPr="00F836E1" w:rsidRDefault="00D93A89" w:rsidP="00F836E1">
      <w:pPr>
        <w:pStyle w:val="NormalWeb"/>
        <w:spacing w:before="0" w:beforeAutospacing="0" w:after="0" w:afterAutospacing="0"/>
        <w:jc w:val="center"/>
        <w:rPr>
          <w:rFonts w:ascii="Arial" w:hAnsi="Arial" w:cs="Arial"/>
          <w:b/>
          <w:sz w:val="22"/>
          <w:szCs w:val="22"/>
        </w:rPr>
      </w:pPr>
      <w:r w:rsidRPr="00F836E1">
        <w:rPr>
          <w:rFonts w:ascii="Arial" w:hAnsi="Arial" w:cs="Arial"/>
          <w:b/>
          <w:sz w:val="22"/>
          <w:szCs w:val="22"/>
        </w:rPr>
        <w:t>DAS COMPETÊNCIAS E RESPONSABILIDADES INSTITUCIONAIS</w:t>
      </w:r>
    </w:p>
    <w:p w14:paraId="5276AA1E" w14:textId="77777777" w:rsidR="00F836E1" w:rsidRDefault="00F836E1" w:rsidP="00D93A89">
      <w:pPr>
        <w:pStyle w:val="Ttulo3"/>
        <w:jc w:val="center"/>
        <w:rPr>
          <w:rFonts w:ascii="Arial" w:eastAsia="Times New Roman" w:hAnsi="Arial" w:cs="Arial"/>
          <w:b/>
          <w:color w:val="auto"/>
          <w:sz w:val="22"/>
          <w:szCs w:val="22"/>
          <w:lang w:eastAsia="pt-BR"/>
        </w:rPr>
      </w:pPr>
    </w:p>
    <w:p w14:paraId="091DAC91" w14:textId="0C7DD590" w:rsidR="00D93A89" w:rsidRPr="00F836E1" w:rsidRDefault="00D93A89" w:rsidP="00D93A89">
      <w:pPr>
        <w:pStyle w:val="Ttulo3"/>
        <w:jc w:val="center"/>
        <w:rPr>
          <w:rFonts w:ascii="Arial" w:eastAsia="Times New Roman" w:hAnsi="Arial" w:cs="Arial"/>
          <w:color w:val="auto"/>
          <w:sz w:val="22"/>
          <w:szCs w:val="22"/>
          <w:lang w:eastAsia="pt-BR"/>
        </w:rPr>
      </w:pPr>
      <w:r w:rsidRPr="00F836E1">
        <w:rPr>
          <w:rFonts w:ascii="Arial" w:eastAsia="Times New Roman" w:hAnsi="Arial" w:cs="Arial"/>
          <w:b/>
          <w:color w:val="auto"/>
          <w:sz w:val="22"/>
          <w:szCs w:val="22"/>
          <w:lang w:eastAsia="pt-BR"/>
        </w:rPr>
        <w:t>Seção I – Das Ações de Pré-Implantação</w:t>
      </w:r>
    </w:p>
    <w:p w14:paraId="76BAD124" w14:textId="2D6924C3"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Art. 1º Na fase de planejamento e adequação normativa originada pela Emenda Constitucional nº 135/2024, compete à Secretaria Municipal de Educação (SME):</w:t>
      </w:r>
    </w:p>
    <w:p w14:paraId="77F63AFA"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lastRenderedPageBreak/>
        <w:t xml:space="preserve">I - </w:t>
      </w:r>
      <w:proofErr w:type="gramStart"/>
      <w:r w:rsidRPr="00F836E1">
        <w:rPr>
          <w:rFonts w:ascii="Arial" w:hAnsi="Arial" w:cs="Arial"/>
          <w:sz w:val="22"/>
          <w:szCs w:val="22"/>
        </w:rPr>
        <w:t>promover</w:t>
      </w:r>
      <w:proofErr w:type="gramEnd"/>
      <w:r w:rsidRPr="00F836E1">
        <w:rPr>
          <w:rFonts w:ascii="Arial" w:hAnsi="Arial" w:cs="Arial"/>
          <w:sz w:val="22"/>
          <w:szCs w:val="22"/>
        </w:rPr>
        <w:t xml:space="preserve"> os trâmites administrativos internos para o envio da minuta do Projeto de Lei que estabelece a nova matriz curricular integrada ao Poder Legislativo, colhendo previamente a validação e o parecer do Conselho Municipal de Educação (CME);</w:t>
      </w:r>
    </w:p>
    <w:p w14:paraId="3C416E0D"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 xml:space="preserve">II - </w:t>
      </w:r>
      <w:proofErr w:type="gramStart"/>
      <w:r w:rsidRPr="00F836E1">
        <w:rPr>
          <w:rFonts w:ascii="Arial" w:hAnsi="Arial" w:cs="Arial"/>
          <w:sz w:val="22"/>
          <w:szCs w:val="22"/>
        </w:rPr>
        <w:t>orientar e supervisionar</w:t>
      </w:r>
      <w:proofErr w:type="gramEnd"/>
      <w:r w:rsidRPr="00F836E1">
        <w:rPr>
          <w:rFonts w:ascii="Arial" w:hAnsi="Arial" w:cs="Arial"/>
          <w:sz w:val="22"/>
          <w:szCs w:val="22"/>
        </w:rPr>
        <w:t xml:space="preserve"> as unidades escolares da rede municipal na adequação de seus respectivos Projetos Políticos-Pedagógicos (PPP), de forma a garantir a unificação do tempo ampliado em jornada mínima de 7 (sete) horas diárias ou 35 (trinta e cinco) horas semanais;</w:t>
      </w:r>
    </w:p>
    <w:p w14:paraId="3527AB7C"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III - elaborar, transmitir e homologar, até o prazo limite de 1º de julho de 2026, o instrumento técnico denominado Plano de Expansão da Educação Integral no sistema SIMEC do Ministério da Educação;</w:t>
      </w:r>
    </w:p>
    <w:p w14:paraId="4DEA87D1"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 xml:space="preserve">IV – </w:t>
      </w:r>
      <w:proofErr w:type="gramStart"/>
      <w:r w:rsidRPr="00F836E1">
        <w:rPr>
          <w:rFonts w:ascii="Arial" w:hAnsi="Arial" w:cs="Arial"/>
          <w:sz w:val="22"/>
          <w:szCs w:val="22"/>
        </w:rPr>
        <w:t>indicar</w:t>
      </w:r>
      <w:proofErr w:type="gramEnd"/>
      <w:r w:rsidRPr="00F836E1">
        <w:rPr>
          <w:rFonts w:ascii="Arial" w:hAnsi="Arial" w:cs="Arial"/>
          <w:sz w:val="22"/>
          <w:szCs w:val="22"/>
        </w:rPr>
        <w:t xml:space="preserve"> à Secretaria de Planejamento, Administração e Finanças (SEPAF), mais especificamente aos setores técnicos de Contabilidade e Orçamento, os valores e remanejamentos orçamentários necessários para a implantação do Programa;</w:t>
      </w:r>
    </w:p>
    <w:p w14:paraId="3969399D"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 xml:space="preserve">V – </w:t>
      </w:r>
      <w:proofErr w:type="gramStart"/>
      <w:r w:rsidRPr="00F836E1">
        <w:rPr>
          <w:rFonts w:ascii="Arial" w:hAnsi="Arial" w:cs="Arial"/>
          <w:sz w:val="22"/>
          <w:szCs w:val="22"/>
        </w:rPr>
        <w:t>repassar</w:t>
      </w:r>
      <w:proofErr w:type="gramEnd"/>
      <w:r w:rsidRPr="00F836E1">
        <w:rPr>
          <w:rFonts w:ascii="Arial" w:hAnsi="Arial" w:cs="Arial"/>
          <w:sz w:val="22"/>
          <w:szCs w:val="22"/>
        </w:rPr>
        <w:t xml:space="preserve"> informações prévias acerca dos profissionais da educação que atuarão em regime de dedicação exclusiva ao programa de tempo integral.</w:t>
      </w:r>
    </w:p>
    <w:p w14:paraId="14D409F7" w14:textId="35B40D0E"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Art. 2º Na fase de preparação orçamentária para o fomento do programa, compete à Secretaria de Planejamento, Administração e Finanças (SEPAF), por meio de seus setores técnicos de Contabilidade e Orçamento:</w:t>
      </w:r>
    </w:p>
    <w:p w14:paraId="258EF89D"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 xml:space="preserve">I - </w:t>
      </w:r>
      <w:proofErr w:type="gramStart"/>
      <w:r w:rsidRPr="00F836E1">
        <w:rPr>
          <w:rFonts w:ascii="Arial" w:hAnsi="Arial" w:cs="Arial"/>
          <w:sz w:val="22"/>
          <w:szCs w:val="22"/>
        </w:rPr>
        <w:t>providenciar</w:t>
      </w:r>
      <w:proofErr w:type="gramEnd"/>
      <w:r w:rsidRPr="00F836E1">
        <w:rPr>
          <w:rFonts w:ascii="Arial" w:hAnsi="Arial" w:cs="Arial"/>
          <w:sz w:val="22"/>
          <w:szCs w:val="22"/>
        </w:rPr>
        <w:t xml:space="preserve"> as alterações orçamentárias para a Abertura de Créditos Adicionais, utilizando como contrapartida a anulação de dotações, o excesso de arrecadação ou o superávit financeiro verificado nas contas do Fundeb, conforme informações repassadas pela Secretaria Municipal de Educação;</w:t>
      </w:r>
    </w:p>
    <w:p w14:paraId="78E45521"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 xml:space="preserve">II - </w:t>
      </w:r>
      <w:proofErr w:type="gramStart"/>
      <w:r w:rsidRPr="00F836E1">
        <w:rPr>
          <w:rFonts w:ascii="Arial" w:hAnsi="Arial" w:cs="Arial"/>
          <w:sz w:val="22"/>
          <w:szCs w:val="22"/>
        </w:rPr>
        <w:t>estruturar, criar</w:t>
      </w:r>
      <w:proofErr w:type="gramEnd"/>
      <w:r w:rsidRPr="00F836E1">
        <w:rPr>
          <w:rFonts w:ascii="Arial" w:hAnsi="Arial" w:cs="Arial"/>
          <w:sz w:val="22"/>
          <w:szCs w:val="22"/>
        </w:rPr>
        <w:t xml:space="preserve"> e ativar códigos específicos de Fonte de Recursos e desdobramentos de elementos de despesa no sistema contábil municipal, destinados a individualizar a aplicação do percentual mínimo obrigatório de 4% (quatro por cento);</w:t>
      </w:r>
    </w:p>
    <w:p w14:paraId="6AA2D8BC"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Parágrafo único. Os textos, na forma de decreto ou lei, conforme o caso, deverão seguir os trâmites internos junto à Procuradoria-Geral do Município até a sua publicação.</w:t>
      </w:r>
    </w:p>
    <w:p w14:paraId="046186FB" w14:textId="57659F1C"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Art. 3º Compete ainda à SEPAF, na fase de preparação orçamentária para o fomento do programa, por meio de seu setor técnico de Recursos Humanos, parametrizar o sistema de processamento da Folha de Pagamento para identificar e vincular os profissionais da educação que atuarão em regime de dedicação exclusiva ao programa de tempo integral, conforme dados fornecidos pela Secretaria Municipal de Educação.</w:t>
      </w:r>
    </w:p>
    <w:p w14:paraId="2C840721" w14:textId="77777777" w:rsidR="00D93A89" w:rsidRPr="00F836E1" w:rsidRDefault="00D93A89" w:rsidP="00D93A89">
      <w:pPr>
        <w:pStyle w:val="Ttulo4"/>
        <w:jc w:val="both"/>
        <w:rPr>
          <w:rFonts w:ascii="Arial" w:hAnsi="Arial" w:cs="Arial"/>
          <w:b/>
          <w:bCs/>
        </w:rPr>
      </w:pPr>
    </w:p>
    <w:p w14:paraId="60123C73" w14:textId="77777777" w:rsidR="00D93A89" w:rsidRPr="00F836E1" w:rsidRDefault="00D93A89" w:rsidP="00D93A89">
      <w:pPr>
        <w:pStyle w:val="Ttulo4"/>
        <w:jc w:val="center"/>
        <w:rPr>
          <w:rFonts w:ascii="Arial" w:eastAsia="Times New Roman" w:hAnsi="Arial" w:cs="Arial"/>
          <w:b/>
          <w:i w:val="0"/>
          <w:iCs w:val="0"/>
          <w:noProof w:val="0"/>
          <w:color w:val="auto"/>
          <w:lang w:eastAsia="pt-BR"/>
        </w:rPr>
      </w:pPr>
      <w:r w:rsidRPr="00F836E1">
        <w:rPr>
          <w:rFonts w:ascii="Arial" w:eastAsia="Times New Roman" w:hAnsi="Arial" w:cs="Arial"/>
          <w:b/>
          <w:i w:val="0"/>
          <w:iCs w:val="0"/>
          <w:noProof w:val="0"/>
          <w:color w:val="auto"/>
          <w:lang w:eastAsia="pt-BR"/>
        </w:rPr>
        <w:t>Seção II – Das Ações de Execução Contínua</w:t>
      </w:r>
    </w:p>
    <w:p w14:paraId="19AFA3D1" w14:textId="7095EAE2"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Art. 4º Durante a execução regular do programa de expansão da ETI, compete à Secretaria Municipal de Educação (SME):</w:t>
      </w:r>
    </w:p>
    <w:p w14:paraId="022C465F"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 xml:space="preserve">I - </w:t>
      </w:r>
      <w:proofErr w:type="gramStart"/>
      <w:r w:rsidRPr="00F836E1">
        <w:rPr>
          <w:rFonts w:ascii="Arial" w:hAnsi="Arial" w:cs="Arial"/>
          <w:sz w:val="22"/>
          <w:szCs w:val="22"/>
        </w:rPr>
        <w:t>gerenciar e validar</w:t>
      </w:r>
      <w:proofErr w:type="gramEnd"/>
      <w:r w:rsidRPr="00F836E1">
        <w:rPr>
          <w:rFonts w:ascii="Arial" w:hAnsi="Arial" w:cs="Arial"/>
          <w:sz w:val="22"/>
          <w:szCs w:val="22"/>
        </w:rPr>
        <w:t xml:space="preserve"> o cadastro e a fidedignidade das matrículas de tempo integral junto ao Censo Escolar (INEP);</w:t>
      </w:r>
    </w:p>
    <w:p w14:paraId="77945BE3"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lastRenderedPageBreak/>
        <w:t xml:space="preserve">II - </w:t>
      </w:r>
      <w:proofErr w:type="gramStart"/>
      <w:r w:rsidRPr="00F836E1">
        <w:rPr>
          <w:rFonts w:ascii="Arial" w:hAnsi="Arial" w:cs="Arial"/>
          <w:sz w:val="22"/>
          <w:szCs w:val="22"/>
        </w:rPr>
        <w:t>acompanhar e chancelar</w:t>
      </w:r>
      <w:proofErr w:type="gramEnd"/>
      <w:r w:rsidRPr="00F836E1">
        <w:rPr>
          <w:rFonts w:ascii="Arial" w:hAnsi="Arial" w:cs="Arial"/>
          <w:sz w:val="22"/>
          <w:szCs w:val="22"/>
        </w:rPr>
        <w:t xml:space="preserve"> a efetividade mensal e a folha de frequência dos profissionais da educação dedicados exclusivamente ao programa de tempo integral;</w:t>
      </w:r>
    </w:p>
    <w:p w14:paraId="11960835"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III - consolidar e reportar periodicamente as metas físicas atingidas nas unidades de ensino piloto ou polos.</w:t>
      </w:r>
    </w:p>
    <w:p w14:paraId="43C5A3A8" w14:textId="4260C7A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Art. 5º Durante o monitoramento fiscal concomitante da execução do programa, compete à Secretaria de Planejamento, Administração e Finanças, por meio de seus setores técnicos de Contabilidade e Tesouraria:</w:t>
      </w:r>
    </w:p>
    <w:p w14:paraId="10244C09"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 xml:space="preserve">I - </w:t>
      </w:r>
      <w:proofErr w:type="gramStart"/>
      <w:r w:rsidRPr="00F836E1">
        <w:rPr>
          <w:rFonts w:ascii="Arial" w:hAnsi="Arial" w:cs="Arial"/>
          <w:sz w:val="22"/>
          <w:szCs w:val="22"/>
        </w:rPr>
        <w:t>assegurar</w:t>
      </w:r>
      <w:proofErr w:type="gramEnd"/>
      <w:r w:rsidRPr="00F836E1">
        <w:rPr>
          <w:rFonts w:ascii="Arial" w:hAnsi="Arial" w:cs="Arial"/>
          <w:sz w:val="22"/>
          <w:szCs w:val="22"/>
        </w:rPr>
        <w:t xml:space="preserve"> de forma contínua que o cálculo do investimento de fomento incida de maneira indivisível sobre o montante bruto total arrecadado na conta do Fundeb do município, englobando a retenção estadual e todas as complementações da União (VAAF, VAAT e VAAR);</w:t>
      </w:r>
    </w:p>
    <w:p w14:paraId="5B85AD3D"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 xml:space="preserve">II - </w:t>
      </w:r>
      <w:proofErr w:type="gramStart"/>
      <w:r w:rsidRPr="00F836E1">
        <w:rPr>
          <w:rFonts w:ascii="Arial" w:hAnsi="Arial" w:cs="Arial"/>
          <w:sz w:val="22"/>
          <w:szCs w:val="22"/>
        </w:rPr>
        <w:t>preencher, conciliar</w:t>
      </w:r>
      <w:proofErr w:type="gramEnd"/>
      <w:r w:rsidRPr="00F836E1">
        <w:rPr>
          <w:rFonts w:ascii="Arial" w:hAnsi="Arial" w:cs="Arial"/>
          <w:sz w:val="22"/>
          <w:szCs w:val="22"/>
        </w:rPr>
        <w:t xml:space="preserve"> e transmitir bimestralmente as despesas de custeio e de capital efetivamente liquidadas na planilha eletrônica "Fomento Tempo Integral" no sistema SIOPE;</w:t>
      </w:r>
    </w:p>
    <w:p w14:paraId="3253F14D"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III - garantir o aporte financeiro programado na conta corrente vinculada para honrar os pagamentos tempestivos decorrentes das dotações "carimbadas" da ETI.</w:t>
      </w:r>
    </w:p>
    <w:p w14:paraId="595CDF47" w14:textId="77777777" w:rsidR="00D93A89" w:rsidRPr="00F836E1" w:rsidRDefault="00D93A89" w:rsidP="00D93A89">
      <w:pPr>
        <w:pStyle w:val="Ttulo3"/>
        <w:jc w:val="both"/>
        <w:rPr>
          <w:rFonts w:ascii="Arial" w:hAnsi="Arial" w:cs="Arial"/>
          <w:b/>
          <w:bCs/>
          <w:sz w:val="22"/>
          <w:szCs w:val="22"/>
        </w:rPr>
      </w:pPr>
    </w:p>
    <w:p w14:paraId="5AEE8B7F" w14:textId="77777777" w:rsidR="00D93A89" w:rsidRPr="00F836E1" w:rsidRDefault="00D93A89" w:rsidP="00F836E1">
      <w:pPr>
        <w:pStyle w:val="Ttulo3"/>
        <w:spacing w:before="0"/>
        <w:jc w:val="center"/>
        <w:rPr>
          <w:rFonts w:ascii="Arial" w:eastAsia="Times New Roman" w:hAnsi="Arial" w:cs="Arial"/>
          <w:b/>
          <w:noProof w:val="0"/>
          <w:color w:val="auto"/>
          <w:sz w:val="22"/>
          <w:szCs w:val="22"/>
          <w:lang w:eastAsia="pt-BR"/>
        </w:rPr>
      </w:pPr>
      <w:r w:rsidRPr="00F836E1">
        <w:rPr>
          <w:rFonts w:ascii="Arial" w:eastAsia="Times New Roman" w:hAnsi="Arial" w:cs="Arial"/>
          <w:b/>
          <w:noProof w:val="0"/>
          <w:color w:val="auto"/>
          <w:sz w:val="22"/>
          <w:szCs w:val="22"/>
          <w:lang w:eastAsia="pt-BR"/>
        </w:rPr>
        <w:t>CAPÍTULO II</w:t>
      </w:r>
    </w:p>
    <w:p w14:paraId="0C6A65C6" w14:textId="77777777" w:rsidR="00D93A89" w:rsidRPr="00F836E1" w:rsidRDefault="00D93A89" w:rsidP="00F836E1">
      <w:pPr>
        <w:pStyle w:val="NormalWeb"/>
        <w:spacing w:before="0" w:beforeAutospacing="0" w:after="0" w:afterAutospacing="0"/>
        <w:jc w:val="center"/>
        <w:rPr>
          <w:rFonts w:ascii="Arial" w:hAnsi="Arial" w:cs="Arial"/>
          <w:b/>
          <w:sz w:val="22"/>
          <w:szCs w:val="22"/>
        </w:rPr>
      </w:pPr>
      <w:r w:rsidRPr="00F836E1">
        <w:rPr>
          <w:rFonts w:ascii="Arial" w:hAnsi="Arial" w:cs="Arial"/>
          <w:b/>
          <w:sz w:val="22"/>
          <w:szCs w:val="22"/>
        </w:rPr>
        <w:t>DO FLUXO OPERACIONAL DAS DESPESAS</w:t>
      </w:r>
    </w:p>
    <w:p w14:paraId="6D13BC2A" w14:textId="15D82CB5"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Art. 6º Toda e qualquer requisição de empenho, contratação de prestação de serviços de terceiros, aquisição de bens permanentes ou termos aditivos contratuais executados para atender às demandas do regime de tempo integral deverá demonstrar, de forma inequívoca, o nexo de causalidade com o programa de ETI, mediante:</w:t>
      </w:r>
    </w:p>
    <w:p w14:paraId="29267D76"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 xml:space="preserve">I - </w:t>
      </w:r>
      <w:proofErr w:type="gramStart"/>
      <w:r w:rsidRPr="00F836E1">
        <w:rPr>
          <w:rFonts w:ascii="Arial" w:hAnsi="Arial" w:cs="Arial"/>
          <w:sz w:val="22"/>
          <w:szCs w:val="22"/>
        </w:rPr>
        <w:t>justificativa</w:t>
      </w:r>
      <w:proofErr w:type="gramEnd"/>
      <w:r w:rsidRPr="00F836E1">
        <w:rPr>
          <w:rFonts w:ascii="Arial" w:hAnsi="Arial" w:cs="Arial"/>
          <w:sz w:val="22"/>
          <w:szCs w:val="22"/>
        </w:rPr>
        <w:t xml:space="preserve"> expressa na requisição de abertura do empenho, correlacionando o objeto à expansão pedagógica instituída pela Emenda Constitucional nº 135/2024 e às diretrizes do Plano de Expansão municipal, dispensada a menção no Termo de Referência (TR) original nos casos de utilização de licitações globais ou Atas de Registro de Preços vigentes;</w:t>
      </w:r>
    </w:p>
    <w:p w14:paraId="44A7E86A"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 xml:space="preserve">II - </w:t>
      </w:r>
      <w:proofErr w:type="gramStart"/>
      <w:r w:rsidRPr="00F836E1">
        <w:rPr>
          <w:rFonts w:ascii="Arial" w:hAnsi="Arial" w:cs="Arial"/>
          <w:sz w:val="22"/>
          <w:szCs w:val="22"/>
        </w:rPr>
        <w:t>indicação</w:t>
      </w:r>
      <w:proofErr w:type="gramEnd"/>
      <w:r w:rsidRPr="00F836E1">
        <w:rPr>
          <w:rFonts w:ascii="Arial" w:hAnsi="Arial" w:cs="Arial"/>
          <w:sz w:val="22"/>
          <w:szCs w:val="22"/>
        </w:rPr>
        <w:t xml:space="preserve"> clara, no corpo da nota de empenho e nos documentos de liquidação, da meta programática e da destinação das despesas para as unidades escolares que integram o programa de tempo integral;</w:t>
      </w:r>
    </w:p>
    <w:p w14:paraId="788C0E76"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III - indicação formal e vinculação da despesa à dotação orçamentária e fonte de recursos correspondente, criada especificamente para o Programa de Expansão da Educação Integral em Tempo Integral.</w:t>
      </w:r>
    </w:p>
    <w:p w14:paraId="3013AA8C" w14:textId="2137E9D5"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Art. 7º O empenhamento e a posterior liquidação das despesas previstas no artigo anterior ficam condicionados ao prévio atesto de regularidade e recebimento do objeto emitido pela Secretaria Municipal de Educação nas respectivas notas fiscais</w:t>
      </w:r>
      <w:r w:rsidR="00C3367A" w:rsidRPr="00F836E1">
        <w:rPr>
          <w:rFonts w:ascii="Arial" w:hAnsi="Arial" w:cs="Arial"/>
          <w:sz w:val="22"/>
          <w:szCs w:val="22"/>
        </w:rPr>
        <w:t xml:space="preserve">. </w:t>
      </w:r>
    </w:p>
    <w:p w14:paraId="7D828310" w14:textId="3A9E97BC"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Art. 8º</w:t>
      </w:r>
      <w:r w:rsidR="00F836E1">
        <w:rPr>
          <w:rFonts w:ascii="Arial" w:hAnsi="Arial" w:cs="Arial"/>
          <w:sz w:val="22"/>
          <w:szCs w:val="22"/>
        </w:rPr>
        <w:t xml:space="preserve"> </w:t>
      </w:r>
      <w:r w:rsidRPr="00F836E1">
        <w:rPr>
          <w:rFonts w:ascii="Arial" w:hAnsi="Arial" w:cs="Arial"/>
          <w:sz w:val="22"/>
          <w:szCs w:val="22"/>
        </w:rPr>
        <w:t>A liquidação de despesas com pessoal na fonte de recursos específica da ETI restringir-se-á, no exercício de 2026, aos profissionais que atuem em regime de dedicação exclusiva ao programa de tempo integral.</w:t>
      </w:r>
    </w:p>
    <w:p w14:paraId="12EB0496"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lastRenderedPageBreak/>
        <w:t>§ 1º Para fins de conformidade e parametrização do sistema de folha de pagamento, a Secretaria Municipal de Educação deverá encaminhar ao setor de Recursos Humanos da SEPAF, até o 15º dia de cada mês, o Relatório Mensal de Efetividade e Lotação da ETI, informando a relação atualizada dos profissionais dedicados exclusivamente ao programa.</w:t>
      </w:r>
    </w:p>
    <w:p w14:paraId="5D1BA710"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 2º O empenhamento da folha de pagamento na fonte específica da ETI será gerado de forma autônoma pelo sistema de recursos humanos com base no relatório mensal e nas respectivas portarias de atribuição de carga horária emitidas pela origem.</w:t>
      </w:r>
    </w:p>
    <w:p w14:paraId="08E4EFFA" w14:textId="712FE2DB"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Art. 9º No exercício financeiro corrente, a aplicação dos recursos de fomento da ETI observará o cronograma técnico de planejamento municipal, priorizando-se a execução de despesas finalísticas de pronto atendimento ao Plano de Expansão.</w:t>
      </w:r>
    </w:p>
    <w:p w14:paraId="51D6F128"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 1º Sem prejuízo de outras despesas finalísticas legalmente admitidas, restam autorizadas as aplicações em:</w:t>
      </w:r>
    </w:p>
    <w:p w14:paraId="3DEE733C"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 xml:space="preserve">I - </w:t>
      </w:r>
      <w:proofErr w:type="gramStart"/>
      <w:r w:rsidRPr="00F836E1">
        <w:rPr>
          <w:rFonts w:ascii="Arial" w:hAnsi="Arial" w:cs="Arial"/>
          <w:sz w:val="22"/>
          <w:szCs w:val="22"/>
        </w:rPr>
        <w:t>despesas</w:t>
      </w:r>
      <w:proofErr w:type="gramEnd"/>
      <w:r w:rsidRPr="00F836E1">
        <w:rPr>
          <w:rFonts w:ascii="Arial" w:hAnsi="Arial" w:cs="Arial"/>
          <w:sz w:val="22"/>
          <w:szCs w:val="22"/>
        </w:rPr>
        <w:t xml:space="preserve"> de custeio, compreendendo materiais de consumo pedagógico e contratação de serviços de terceiros destinados especificamente às ações da ETI, observada a estrita vedação de aplicação desses recursos em alimentação escolar, nos termos da legislação federal vigente;</w:t>
      </w:r>
    </w:p>
    <w:p w14:paraId="7FC78741"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 xml:space="preserve">II - </w:t>
      </w:r>
      <w:proofErr w:type="gramStart"/>
      <w:r w:rsidRPr="00F836E1">
        <w:rPr>
          <w:rFonts w:ascii="Arial" w:hAnsi="Arial" w:cs="Arial"/>
          <w:sz w:val="22"/>
          <w:szCs w:val="22"/>
        </w:rPr>
        <w:t>despesas</w:t>
      </w:r>
      <w:proofErr w:type="gramEnd"/>
      <w:r w:rsidRPr="00F836E1">
        <w:rPr>
          <w:rFonts w:ascii="Arial" w:hAnsi="Arial" w:cs="Arial"/>
          <w:sz w:val="22"/>
          <w:szCs w:val="22"/>
        </w:rPr>
        <w:t xml:space="preserve"> de capital voltadas à aquisição de bens permanentes estruturantes, tais como computadores, mobiliário escolar e salas de aula modulares.</w:t>
      </w:r>
    </w:p>
    <w:p w14:paraId="249CCD3D"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 2º As despesas com obras e instalações de infraestrutura complexa que demandarem prazos extensos de licitação ou execução deverão, preferencialmente, ser programadas orçamentariamente para o exercício seguinte, admitindo-se o empenhamento no exercício corrente caso haja viabilidade técnica de início imediato e expressa compatibilidade com as metas do Plano de Expansão para 2026.</w:t>
      </w:r>
    </w:p>
    <w:p w14:paraId="2E7A641E" w14:textId="77777777" w:rsidR="00D93A89" w:rsidRPr="00F836E1" w:rsidRDefault="00D93A89" w:rsidP="00D93A89">
      <w:pPr>
        <w:pStyle w:val="Ttulo3"/>
        <w:jc w:val="both"/>
        <w:rPr>
          <w:rFonts w:ascii="Arial" w:hAnsi="Arial" w:cs="Arial"/>
          <w:b/>
          <w:bCs/>
          <w:sz w:val="22"/>
          <w:szCs w:val="22"/>
        </w:rPr>
      </w:pPr>
    </w:p>
    <w:p w14:paraId="285FAD44" w14:textId="77777777" w:rsidR="00D93A89" w:rsidRPr="00F836E1" w:rsidRDefault="00D93A89" w:rsidP="00F836E1">
      <w:pPr>
        <w:pStyle w:val="Ttulo3"/>
        <w:spacing w:before="0"/>
        <w:jc w:val="center"/>
        <w:rPr>
          <w:rFonts w:ascii="Arial" w:eastAsia="Times New Roman" w:hAnsi="Arial" w:cs="Arial"/>
          <w:b/>
          <w:noProof w:val="0"/>
          <w:color w:val="auto"/>
          <w:sz w:val="22"/>
          <w:szCs w:val="22"/>
          <w:lang w:eastAsia="pt-BR"/>
        </w:rPr>
      </w:pPr>
      <w:r w:rsidRPr="00F836E1">
        <w:rPr>
          <w:rFonts w:ascii="Arial" w:eastAsia="Times New Roman" w:hAnsi="Arial" w:cs="Arial"/>
          <w:b/>
          <w:noProof w:val="0"/>
          <w:color w:val="auto"/>
          <w:sz w:val="22"/>
          <w:szCs w:val="22"/>
          <w:lang w:eastAsia="pt-BR"/>
        </w:rPr>
        <w:t>CAPÍTULO III</w:t>
      </w:r>
    </w:p>
    <w:p w14:paraId="7986BF6C" w14:textId="77777777" w:rsidR="00D93A89" w:rsidRPr="00F836E1" w:rsidRDefault="00D93A89" w:rsidP="00F836E1">
      <w:pPr>
        <w:pStyle w:val="NormalWeb"/>
        <w:spacing w:before="0" w:beforeAutospacing="0" w:after="0" w:afterAutospacing="0"/>
        <w:jc w:val="center"/>
        <w:rPr>
          <w:rFonts w:ascii="Arial" w:hAnsi="Arial" w:cs="Arial"/>
          <w:b/>
          <w:sz w:val="22"/>
          <w:szCs w:val="22"/>
        </w:rPr>
      </w:pPr>
      <w:r w:rsidRPr="00F836E1">
        <w:rPr>
          <w:rFonts w:ascii="Arial" w:hAnsi="Arial" w:cs="Arial"/>
          <w:b/>
          <w:sz w:val="22"/>
          <w:szCs w:val="22"/>
        </w:rPr>
        <w:t>DAS VEDAÇÕES, REGRAS DE TRANSIÇÃO E CONTROLE</w:t>
      </w:r>
    </w:p>
    <w:p w14:paraId="31DC74B6" w14:textId="551EEA69"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Art. 10 Fica expressamente vedada a alocação de despesas de caráter estritamente administrativo, tais como materiais de expediente para uso da sede da Secretaria Municipal de Educação, equipamentos de informática de escritório para setores administrativos ou insumos de uso geral que não guardem nexo causal direto com as turmas de Tempo Integral, na dotação ou fonte de recursos específica dos 4% (quatro por cento) da ETI.</w:t>
      </w:r>
    </w:p>
    <w:p w14:paraId="71764394" w14:textId="4C39103C" w:rsidR="00D93A89" w:rsidRPr="00F836E1" w:rsidRDefault="00C3367A" w:rsidP="00D93A89">
      <w:pPr>
        <w:pStyle w:val="NormalWeb"/>
        <w:jc w:val="both"/>
        <w:rPr>
          <w:rFonts w:ascii="Arial" w:hAnsi="Arial" w:cs="Arial"/>
          <w:sz w:val="22"/>
          <w:szCs w:val="22"/>
        </w:rPr>
      </w:pPr>
      <w:r w:rsidRPr="00F836E1">
        <w:rPr>
          <w:rFonts w:ascii="Arial" w:hAnsi="Arial" w:cs="Arial"/>
          <w:sz w:val="22"/>
          <w:szCs w:val="22"/>
        </w:rPr>
        <w:t xml:space="preserve">§1º </w:t>
      </w:r>
      <w:r w:rsidR="00D93A89" w:rsidRPr="00F836E1">
        <w:rPr>
          <w:rFonts w:ascii="Arial" w:hAnsi="Arial" w:cs="Arial"/>
          <w:sz w:val="22"/>
          <w:szCs w:val="22"/>
        </w:rPr>
        <w:t>Os itens de consumo comum e de expediente administrativo das secretarias escolares deverão ser custeados pelas dotações globais de Manutenção e Desenvolvimento do Ensino (MDE), preservando-se os recursos do fomento para as despesas finalísticas de pessoal exclusivo, bens permanentes estruturantes, materiais pedagógicos e serviços autorizados no art. 9º desta Instrução Normativa.</w:t>
      </w:r>
    </w:p>
    <w:p w14:paraId="4430A9BC" w14:textId="0F9B9E2B" w:rsidR="00C3367A" w:rsidRPr="00F836E1" w:rsidRDefault="00C3367A" w:rsidP="00D93A89">
      <w:pPr>
        <w:pStyle w:val="NormalWeb"/>
        <w:jc w:val="both"/>
        <w:rPr>
          <w:rFonts w:ascii="Arial" w:hAnsi="Arial" w:cs="Arial"/>
          <w:sz w:val="22"/>
          <w:szCs w:val="22"/>
        </w:rPr>
      </w:pPr>
      <w:r w:rsidRPr="00F836E1">
        <w:rPr>
          <w:rFonts w:ascii="Arial" w:hAnsi="Arial" w:cs="Arial"/>
          <w:sz w:val="22"/>
          <w:szCs w:val="22"/>
        </w:rPr>
        <w:t xml:space="preserve">§ 2º A vedação apresentada no parágrafo 1º não de aplica no caso </w:t>
      </w:r>
      <w:proofErr w:type="gramStart"/>
      <w:r w:rsidRPr="00F836E1">
        <w:rPr>
          <w:rFonts w:ascii="Arial" w:hAnsi="Arial" w:cs="Arial"/>
          <w:sz w:val="22"/>
          <w:szCs w:val="22"/>
        </w:rPr>
        <w:t>da</w:t>
      </w:r>
      <w:proofErr w:type="gramEnd"/>
      <w:r w:rsidRPr="00F836E1">
        <w:rPr>
          <w:rFonts w:ascii="Arial" w:hAnsi="Arial" w:cs="Arial"/>
          <w:sz w:val="22"/>
          <w:szCs w:val="22"/>
        </w:rPr>
        <w:t xml:space="preserve"> unidade escolar atuar exclusivamente como ETI.</w:t>
      </w:r>
    </w:p>
    <w:p w14:paraId="610B8052" w14:textId="1E13ABEB"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 xml:space="preserve">Art. 11 O limite mínimo de 70% (setenta por cento) destinado à remuneração dos profissionais da educação básica aplica-se de forma global sobre o total do Fundeb do município e não </w:t>
      </w:r>
      <w:r w:rsidRPr="00F836E1">
        <w:rPr>
          <w:rFonts w:ascii="Arial" w:hAnsi="Arial" w:cs="Arial"/>
          <w:sz w:val="22"/>
          <w:szCs w:val="22"/>
        </w:rPr>
        <w:lastRenderedPageBreak/>
        <w:t>isoladamente sobre os 4% (quatro por cento) destinados ao tempo integral, cabendo ao setor de contabilidade o monitoramento unificado para que eventuais investimentos de capital na ETI não comprometam o índice global de pessoal da folha da educação.</w:t>
      </w:r>
    </w:p>
    <w:p w14:paraId="1146B7DD" w14:textId="73B70DD1"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Art. 12 O descumprimento injustificado do prazo limite estabelecido no inciso III do art. 1º desta Instrução Normativa para a devida regularização normativa da matriz curricular e do programa de ETI perante o sistema SIMEC ensejará a imediata notificação</w:t>
      </w:r>
      <w:r w:rsidR="00C3367A" w:rsidRPr="00F836E1">
        <w:rPr>
          <w:rFonts w:ascii="Arial" w:hAnsi="Arial" w:cs="Arial"/>
          <w:sz w:val="22"/>
          <w:szCs w:val="22"/>
        </w:rPr>
        <w:t xml:space="preserve"> ao gestor da pasta.</w:t>
      </w:r>
    </w:p>
    <w:p w14:paraId="157B91C4" w14:textId="77777777"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Parágrafo único. A ausência de regularização no prazo previsto no caput sujeita o sistema municipal de ensino à situação de irregularidade perante o Ministério da Educação, ante o iminente risco de glosa dos gastos contábeis e de retenção de validações de matrículas do município junto aos órgãos federais.</w:t>
      </w:r>
    </w:p>
    <w:p w14:paraId="4093CC7E" w14:textId="5099F4A6" w:rsidR="00D93A89" w:rsidRPr="00F836E1" w:rsidRDefault="00D93A89" w:rsidP="00D93A89">
      <w:pPr>
        <w:pStyle w:val="NormalWeb"/>
        <w:jc w:val="both"/>
        <w:rPr>
          <w:rFonts w:ascii="Arial" w:hAnsi="Arial" w:cs="Arial"/>
          <w:sz w:val="22"/>
          <w:szCs w:val="22"/>
        </w:rPr>
      </w:pPr>
      <w:r w:rsidRPr="00F836E1">
        <w:rPr>
          <w:rFonts w:ascii="Arial" w:hAnsi="Arial" w:cs="Arial"/>
          <w:sz w:val="22"/>
          <w:szCs w:val="22"/>
        </w:rPr>
        <w:t>Art. 13 A Unidade Central de Controle Interno (UCCI) realizará o acompanhamento periódico e concomitante da execução orçamentária do programa, bem como auditorias e verificações pontuais de natureza preventiva, emitindo Relatório de Alerta formalizado ao</w:t>
      </w:r>
      <w:r w:rsidR="00C3367A" w:rsidRPr="00F836E1">
        <w:rPr>
          <w:rFonts w:ascii="Arial" w:hAnsi="Arial" w:cs="Arial"/>
          <w:sz w:val="22"/>
          <w:szCs w:val="22"/>
        </w:rPr>
        <w:t>(s)</w:t>
      </w:r>
      <w:r w:rsidRPr="00F836E1">
        <w:rPr>
          <w:rFonts w:ascii="Arial" w:hAnsi="Arial" w:cs="Arial"/>
          <w:sz w:val="22"/>
          <w:szCs w:val="22"/>
        </w:rPr>
        <w:t xml:space="preserve"> ordenador</w:t>
      </w:r>
      <w:r w:rsidR="00C3367A" w:rsidRPr="00F836E1">
        <w:rPr>
          <w:rFonts w:ascii="Arial" w:hAnsi="Arial" w:cs="Arial"/>
          <w:sz w:val="22"/>
          <w:szCs w:val="22"/>
        </w:rPr>
        <w:t>(es)</w:t>
      </w:r>
      <w:r w:rsidRPr="00F836E1">
        <w:rPr>
          <w:rFonts w:ascii="Arial" w:hAnsi="Arial" w:cs="Arial"/>
          <w:sz w:val="22"/>
          <w:szCs w:val="22"/>
        </w:rPr>
        <w:t xml:space="preserve"> de despesa</w:t>
      </w:r>
      <w:r w:rsidR="00C3367A" w:rsidRPr="00F836E1">
        <w:rPr>
          <w:rFonts w:ascii="Arial" w:hAnsi="Arial" w:cs="Arial"/>
          <w:sz w:val="22"/>
          <w:szCs w:val="22"/>
        </w:rPr>
        <w:t xml:space="preserve"> e ao Chefe do Poder Executivo,</w:t>
      </w:r>
      <w:r w:rsidRPr="00F836E1">
        <w:rPr>
          <w:rFonts w:ascii="Arial" w:hAnsi="Arial" w:cs="Arial"/>
          <w:sz w:val="22"/>
          <w:szCs w:val="22"/>
        </w:rPr>
        <w:t xml:space="preserve"> caso sejam identificadas inconformidades ou risco de descumprimento do índice mínimo constitucional ao final do exercício.</w:t>
      </w:r>
    </w:p>
    <w:p w14:paraId="0118D1C6" w14:textId="77777777" w:rsidR="00D93A89" w:rsidRPr="00F836E1" w:rsidRDefault="00D93A89" w:rsidP="00D93A89">
      <w:pPr>
        <w:pStyle w:val="NormalWeb"/>
        <w:spacing w:before="0" w:beforeAutospacing="0" w:after="0" w:afterAutospacing="0"/>
        <w:jc w:val="both"/>
        <w:rPr>
          <w:rFonts w:ascii="Arial" w:hAnsi="Arial" w:cs="Arial"/>
          <w:sz w:val="22"/>
          <w:szCs w:val="22"/>
        </w:rPr>
      </w:pPr>
    </w:p>
    <w:p w14:paraId="30343DCC" w14:textId="77777777" w:rsidR="00D93A89" w:rsidRPr="00F836E1" w:rsidRDefault="00D93A89" w:rsidP="00D93A89">
      <w:pPr>
        <w:pStyle w:val="NormalWeb"/>
        <w:spacing w:before="0" w:beforeAutospacing="0" w:after="0" w:afterAutospacing="0"/>
        <w:jc w:val="both"/>
        <w:rPr>
          <w:rFonts w:ascii="Arial" w:hAnsi="Arial" w:cs="Arial"/>
          <w:sz w:val="22"/>
          <w:szCs w:val="22"/>
        </w:rPr>
      </w:pPr>
    </w:p>
    <w:p w14:paraId="5F337CAC" w14:textId="77777777" w:rsidR="00D93A89" w:rsidRPr="00F836E1" w:rsidRDefault="00D93A89" w:rsidP="00D93A89">
      <w:pPr>
        <w:pStyle w:val="NormalWeb"/>
        <w:spacing w:before="0" w:beforeAutospacing="0" w:after="0" w:afterAutospacing="0"/>
        <w:jc w:val="both"/>
        <w:rPr>
          <w:rFonts w:ascii="Arial" w:hAnsi="Arial" w:cs="Arial"/>
          <w:sz w:val="22"/>
          <w:szCs w:val="22"/>
        </w:rPr>
      </w:pPr>
    </w:p>
    <w:p w14:paraId="5542B55A" w14:textId="745EECA7" w:rsidR="00D93A89" w:rsidRPr="00F836E1" w:rsidRDefault="00D93A89" w:rsidP="00D93A89">
      <w:pPr>
        <w:pStyle w:val="NormalWeb"/>
        <w:spacing w:before="0" w:beforeAutospacing="0" w:after="0" w:afterAutospacing="0"/>
        <w:jc w:val="both"/>
        <w:rPr>
          <w:rFonts w:ascii="Arial" w:hAnsi="Arial" w:cs="Arial"/>
          <w:sz w:val="22"/>
          <w:szCs w:val="22"/>
        </w:rPr>
      </w:pPr>
      <w:r w:rsidRPr="00F836E1">
        <w:rPr>
          <w:rFonts w:ascii="Arial" w:hAnsi="Arial" w:cs="Arial"/>
          <w:sz w:val="22"/>
          <w:szCs w:val="22"/>
        </w:rPr>
        <w:t xml:space="preserve">Navegantes/SC, </w:t>
      </w:r>
      <w:r w:rsidR="00F940AE">
        <w:rPr>
          <w:rFonts w:ascii="Arial" w:hAnsi="Arial" w:cs="Arial"/>
          <w:sz w:val="22"/>
          <w:szCs w:val="22"/>
        </w:rPr>
        <w:t>22</w:t>
      </w:r>
      <w:r w:rsidRPr="00F836E1">
        <w:rPr>
          <w:rFonts w:ascii="Arial" w:hAnsi="Arial" w:cs="Arial"/>
          <w:sz w:val="22"/>
          <w:szCs w:val="22"/>
        </w:rPr>
        <w:t xml:space="preserve"> de junho de 2026.</w:t>
      </w:r>
    </w:p>
    <w:p w14:paraId="7B341E33" w14:textId="77777777" w:rsidR="00D93A89" w:rsidRPr="00F836E1" w:rsidRDefault="00D93A89" w:rsidP="00D93A89">
      <w:pPr>
        <w:pStyle w:val="NormalWeb"/>
        <w:spacing w:before="0" w:beforeAutospacing="0" w:after="0" w:afterAutospacing="0"/>
        <w:jc w:val="both"/>
        <w:rPr>
          <w:rFonts w:ascii="Arial" w:hAnsi="Arial" w:cs="Arial"/>
          <w:sz w:val="22"/>
          <w:szCs w:val="22"/>
        </w:rPr>
      </w:pPr>
    </w:p>
    <w:p w14:paraId="197788EF" w14:textId="1BD33793" w:rsidR="00D93A89" w:rsidRDefault="00D93A89" w:rsidP="00D93A89">
      <w:pPr>
        <w:pStyle w:val="NormalWeb"/>
        <w:spacing w:before="0" w:beforeAutospacing="0" w:after="0" w:afterAutospacing="0"/>
        <w:jc w:val="both"/>
        <w:rPr>
          <w:rFonts w:ascii="Arial" w:hAnsi="Arial" w:cs="Arial"/>
          <w:sz w:val="22"/>
          <w:szCs w:val="22"/>
        </w:rPr>
      </w:pPr>
    </w:p>
    <w:p w14:paraId="1107D2A7" w14:textId="742918BF" w:rsidR="00714DEB" w:rsidRDefault="00714DEB" w:rsidP="00D93A89">
      <w:pPr>
        <w:pStyle w:val="NormalWeb"/>
        <w:spacing w:before="0" w:beforeAutospacing="0" w:after="0" w:afterAutospacing="0"/>
        <w:jc w:val="both"/>
        <w:rPr>
          <w:rFonts w:ascii="Arial" w:hAnsi="Arial" w:cs="Arial"/>
          <w:sz w:val="22"/>
          <w:szCs w:val="22"/>
        </w:rPr>
      </w:pPr>
    </w:p>
    <w:p w14:paraId="67A74D8C" w14:textId="77777777" w:rsidR="00714DEB" w:rsidRDefault="00714DEB" w:rsidP="00D93A89">
      <w:pPr>
        <w:pStyle w:val="NormalWeb"/>
        <w:spacing w:before="0" w:beforeAutospacing="0" w:after="0" w:afterAutospacing="0"/>
        <w:jc w:val="both"/>
        <w:rPr>
          <w:rFonts w:ascii="Arial" w:hAnsi="Arial" w:cs="Arial"/>
          <w:sz w:val="22"/>
          <w:szCs w:val="22"/>
        </w:rPr>
      </w:pPr>
      <w:bookmarkStart w:id="0" w:name="_GoBack"/>
      <w:bookmarkEnd w:id="0"/>
    </w:p>
    <w:p w14:paraId="71BE08E5" w14:textId="2268271D" w:rsidR="00714DEB" w:rsidRDefault="00714DEB" w:rsidP="00D93A89">
      <w:pPr>
        <w:pStyle w:val="NormalWeb"/>
        <w:spacing w:before="0" w:beforeAutospacing="0" w:after="0" w:afterAutospacing="0"/>
        <w:jc w:val="both"/>
        <w:rPr>
          <w:rFonts w:ascii="Arial" w:hAnsi="Arial" w:cs="Arial"/>
          <w:sz w:val="22"/>
          <w:szCs w:val="22"/>
        </w:rPr>
      </w:pPr>
    </w:p>
    <w:tbl>
      <w:tblPr>
        <w:tblStyle w:val="Tabelacomgrade"/>
        <w:tblW w:w="10206"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402"/>
        <w:gridCol w:w="3402"/>
      </w:tblGrid>
      <w:tr w:rsidR="00714DEB" w14:paraId="05A43964" w14:textId="77777777" w:rsidTr="00714DEB">
        <w:tc>
          <w:tcPr>
            <w:tcW w:w="3402" w:type="dxa"/>
          </w:tcPr>
          <w:p w14:paraId="0B79BD5A" w14:textId="77777777" w:rsidR="00714DEB" w:rsidRPr="00F836E1" w:rsidRDefault="00714DEB" w:rsidP="00714DEB">
            <w:pPr>
              <w:pStyle w:val="NormalWeb"/>
              <w:spacing w:before="0" w:beforeAutospacing="0" w:after="0" w:afterAutospacing="0"/>
              <w:jc w:val="center"/>
              <w:rPr>
                <w:rFonts w:ascii="Arial" w:hAnsi="Arial" w:cs="Arial"/>
                <w:sz w:val="22"/>
                <w:szCs w:val="22"/>
              </w:rPr>
            </w:pPr>
            <w:r w:rsidRPr="00F836E1">
              <w:rPr>
                <w:rFonts w:ascii="Arial" w:hAnsi="Arial" w:cs="Arial"/>
                <w:sz w:val="22"/>
                <w:szCs w:val="22"/>
              </w:rPr>
              <w:t>JAN ULLRICH</w:t>
            </w:r>
          </w:p>
          <w:p w14:paraId="33ED66CD" w14:textId="3A9378A7" w:rsidR="00714DEB" w:rsidRDefault="00714DEB" w:rsidP="00714DEB">
            <w:pPr>
              <w:pStyle w:val="NormalWeb"/>
              <w:spacing w:before="0" w:beforeAutospacing="0" w:after="0" w:afterAutospacing="0"/>
              <w:jc w:val="center"/>
              <w:rPr>
                <w:rFonts w:ascii="Arial" w:hAnsi="Arial" w:cs="Arial"/>
                <w:sz w:val="22"/>
                <w:szCs w:val="22"/>
              </w:rPr>
            </w:pPr>
            <w:r w:rsidRPr="00F836E1">
              <w:rPr>
                <w:rFonts w:ascii="Arial" w:hAnsi="Arial" w:cs="Arial"/>
                <w:sz w:val="22"/>
                <w:szCs w:val="22"/>
              </w:rPr>
              <w:t>Secretário de Gestão e Controle</w:t>
            </w:r>
          </w:p>
        </w:tc>
        <w:tc>
          <w:tcPr>
            <w:tcW w:w="3402" w:type="dxa"/>
          </w:tcPr>
          <w:p w14:paraId="4DCE3673" w14:textId="77777777" w:rsidR="00714DEB" w:rsidRPr="00F836E1" w:rsidRDefault="00714DEB" w:rsidP="00714DEB">
            <w:pPr>
              <w:pStyle w:val="NormalWeb"/>
              <w:spacing w:before="0" w:beforeAutospacing="0" w:after="0" w:afterAutospacing="0"/>
              <w:jc w:val="center"/>
              <w:rPr>
                <w:rFonts w:ascii="Arial" w:hAnsi="Arial" w:cs="Arial"/>
                <w:sz w:val="22"/>
                <w:szCs w:val="22"/>
              </w:rPr>
            </w:pPr>
            <w:r w:rsidRPr="00F836E1">
              <w:rPr>
                <w:rFonts w:ascii="Arial" w:hAnsi="Arial" w:cs="Arial"/>
                <w:sz w:val="22"/>
                <w:szCs w:val="22"/>
              </w:rPr>
              <w:t>ANA PAULA RUDOLF</w:t>
            </w:r>
          </w:p>
          <w:p w14:paraId="358D984C" w14:textId="2BF05D3B" w:rsidR="00714DEB" w:rsidRDefault="00714DEB" w:rsidP="00714DEB">
            <w:pPr>
              <w:pStyle w:val="NormalWeb"/>
              <w:spacing w:before="0" w:beforeAutospacing="0" w:after="0" w:afterAutospacing="0"/>
              <w:jc w:val="center"/>
              <w:rPr>
                <w:rFonts w:ascii="Arial" w:hAnsi="Arial" w:cs="Arial"/>
                <w:sz w:val="22"/>
                <w:szCs w:val="22"/>
              </w:rPr>
            </w:pPr>
            <w:r w:rsidRPr="00F836E1">
              <w:rPr>
                <w:rFonts w:ascii="Arial" w:hAnsi="Arial" w:cs="Arial"/>
                <w:sz w:val="22"/>
                <w:szCs w:val="22"/>
              </w:rPr>
              <w:t>Secretária de Educação</w:t>
            </w:r>
          </w:p>
        </w:tc>
        <w:tc>
          <w:tcPr>
            <w:tcW w:w="3402" w:type="dxa"/>
          </w:tcPr>
          <w:p w14:paraId="32F67620" w14:textId="77777777" w:rsidR="00714DEB" w:rsidRPr="00F836E1" w:rsidRDefault="00714DEB" w:rsidP="00714DEB">
            <w:pPr>
              <w:pStyle w:val="NormalWeb"/>
              <w:spacing w:before="0" w:beforeAutospacing="0" w:after="0" w:afterAutospacing="0"/>
              <w:jc w:val="center"/>
              <w:rPr>
                <w:rFonts w:ascii="Arial" w:hAnsi="Arial" w:cs="Arial"/>
                <w:sz w:val="22"/>
                <w:szCs w:val="22"/>
              </w:rPr>
            </w:pPr>
            <w:r>
              <w:rPr>
                <w:rFonts w:ascii="Arial" w:hAnsi="Arial" w:cs="Arial"/>
                <w:sz w:val="22"/>
                <w:szCs w:val="22"/>
              </w:rPr>
              <w:t>EDUARDO SCHMITT</w:t>
            </w:r>
          </w:p>
          <w:p w14:paraId="14185C93" w14:textId="54DE1F75" w:rsidR="00714DEB" w:rsidRDefault="00714DEB" w:rsidP="00714DEB">
            <w:pPr>
              <w:pStyle w:val="NormalWeb"/>
              <w:spacing w:before="0" w:beforeAutospacing="0" w:after="0" w:afterAutospacing="0"/>
              <w:jc w:val="center"/>
              <w:rPr>
                <w:rFonts w:ascii="Arial" w:hAnsi="Arial" w:cs="Arial"/>
                <w:sz w:val="22"/>
                <w:szCs w:val="22"/>
              </w:rPr>
            </w:pPr>
            <w:r w:rsidRPr="00F836E1">
              <w:rPr>
                <w:rFonts w:ascii="Arial" w:hAnsi="Arial" w:cs="Arial"/>
                <w:sz w:val="22"/>
                <w:szCs w:val="22"/>
              </w:rPr>
              <w:t xml:space="preserve">Secretário </w:t>
            </w:r>
            <w:r>
              <w:rPr>
                <w:rFonts w:ascii="Arial" w:hAnsi="Arial" w:cs="Arial"/>
                <w:sz w:val="22"/>
                <w:szCs w:val="22"/>
              </w:rPr>
              <w:t xml:space="preserve">Adjunto </w:t>
            </w:r>
            <w:r>
              <w:rPr>
                <w:rFonts w:ascii="Arial" w:hAnsi="Arial" w:cs="Arial"/>
                <w:sz w:val="22"/>
                <w:szCs w:val="22"/>
              </w:rPr>
              <w:t>SEPAF</w:t>
            </w:r>
          </w:p>
        </w:tc>
      </w:tr>
    </w:tbl>
    <w:p w14:paraId="10B148FF" w14:textId="77777777" w:rsidR="00714DEB" w:rsidRPr="00F836E1" w:rsidRDefault="00714DEB" w:rsidP="00D93A89">
      <w:pPr>
        <w:pStyle w:val="NormalWeb"/>
        <w:spacing w:before="0" w:beforeAutospacing="0" w:after="0" w:afterAutospacing="0"/>
        <w:jc w:val="both"/>
        <w:rPr>
          <w:rFonts w:ascii="Arial" w:hAnsi="Arial" w:cs="Arial"/>
          <w:sz w:val="22"/>
          <w:szCs w:val="22"/>
        </w:rPr>
      </w:pPr>
    </w:p>
    <w:p w14:paraId="19CCFCC9" w14:textId="3D4B6989" w:rsidR="00D93A89" w:rsidRDefault="00D93A89" w:rsidP="00D93A89">
      <w:pPr>
        <w:pStyle w:val="NormalWeb"/>
        <w:spacing w:before="0" w:beforeAutospacing="0" w:after="0" w:afterAutospacing="0"/>
        <w:jc w:val="both"/>
        <w:rPr>
          <w:rFonts w:ascii="Arial" w:hAnsi="Arial" w:cs="Arial"/>
          <w:sz w:val="22"/>
          <w:szCs w:val="22"/>
        </w:rPr>
      </w:pPr>
    </w:p>
    <w:p w14:paraId="111C6F75" w14:textId="68699E13" w:rsidR="00F836E1" w:rsidRDefault="00F836E1" w:rsidP="00D93A89">
      <w:pPr>
        <w:pStyle w:val="NormalWeb"/>
        <w:spacing w:before="0" w:beforeAutospacing="0" w:after="0" w:afterAutospacing="0"/>
        <w:jc w:val="both"/>
        <w:rPr>
          <w:rFonts w:ascii="Arial" w:hAnsi="Arial" w:cs="Arial"/>
          <w:sz w:val="22"/>
          <w:szCs w:val="22"/>
        </w:rPr>
      </w:pPr>
    </w:p>
    <w:p w14:paraId="36E21F30" w14:textId="77777777" w:rsidR="00714DEB" w:rsidRPr="00F836E1" w:rsidRDefault="00714DEB" w:rsidP="00D93A89">
      <w:pPr>
        <w:pStyle w:val="NormalWeb"/>
        <w:spacing w:before="0" w:beforeAutospacing="0" w:after="0" w:afterAutospacing="0"/>
        <w:jc w:val="both"/>
        <w:rPr>
          <w:rFonts w:ascii="Arial" w:hAnsi="Arial" w:cs="Arial"/>
          <w:sz w:val="22"/>
          <w:szCs w:val="22"/>
        </w:rPr>
      </w:pPr>
    </w:p>
    <w:p w14:paraId="33FAFDC1" w14:textId="77777777" w:rsidR="00F836E1" w:rsidRPr="00F836E1" w:rsidRDefault="00F836E1" w:rsidP="00F836E1">
      <w:pPr>
        <w:pStyle w:val="NormalWeb"/>
        <w:spacing w:before="0" w:beforeAutospacing="0" w:after="0" w:afterAutospacing="0"/>
        <w:jc w:val="center"/>
        <w:rPr>
          <w:rFonts w:ascii="Arial" w:hAnsi="Arial" w:cs="Arial"/>
          <w:sz w:val="22"/>
          <w:szCs w:val="22"/>
        </w:rPr>
      </w:pPr>
    </w:p>
    <w:p w14:paraId="70714525" w14:textId="7AE61FA4" w:rsidR="00F836E1" w:rsidRPr="00F836E1" w:rsidRDefault="00714DEB" w:rsidP="00F836E1">
      <w:pPr>
        <w:pStyle w:val="NormalWeb"/>
        <w:spacing w:before="0" w:beforeAutospacing="0" w:after="0" w:afterAutospacing="0"/>
        <w:jc w:val="center"/>
        <w:rPr>
          <w:rFonts w:ascii="Arial" w:hAnsi="Arial" w:cs="Arial"/>
          <w:sz w:val="22"/>
          <w:szCs w:val="22"/>
        </w:rPr>
      </w:pPr>
      <w:r>
        <w:rPr>
          <w:rFonts w:ascii="Arial" w:hAnsi="Arial" w:cs="Arial"/>
          <w:sz w:val="22"/>
          <w:szCs w:val="22"/>
        </w:rPr>
        <w:t>RICARDO MUNIZ VENTURA</w:t>
      </w:r>
    </w:p>
    <w:p w14:paraId="6AD68305" w14:textId="6D41BCA2" w:rsidR="00D93A89" w:rsidRPr="00F836E1" w:rsidRDefault="00714DEB" w:rsidP="00F836E1">
      <w:pPr>
        <w:pStyle w:val="NormalWeb"/>
        <w:spacing w:before="0" w:beforeAutospacing="0" w:after="0" w:afterAutospacing="0"/>
        <w:jc w:val="center"/>
        <w:rPr>
          <w:rFonts w:ascii="Arial" w:hAnsi="Arial" w:cs="Arial"/>
          <w:sz w:val="22"/>
          <w:szCs w:val="22"/>
        </w:rPr>
      </w:pPr>
      <w:r>
        <w:rPr>
          <w:rFonts w:ascii="Arial" w:hAnsi="Arial" w:cs="Arial"/>
          <w:sz w:val="22"/>
          <w:szCs w:val="22"/>
        </w:rPr>
        <w:t>Prefeito</w:t>
      </w:r>
    </w:p>
    <w:p w14:paraId="426D3527" w14:textId="77777777" w:rsidR="00D93A89" w:rsidRPr="00F836E1" w:rsidRDefault="00D93A89" w:rsidP="00F836E1">
      <w:pPr>
        <w:pStyle w:val="NormalWeb"/>
        <w:spacing w:before="0" w:beforeAutospacing="0" w:after="0" w:afterAutospacing="0"/>
        <w:jc w:val="center"/>
        <w:rPr>
          <w:rFonts w:ascii="Arial" w:hAnsi="Arial" w:cs="Arial"/>
          <w:sz w:val="22"/>
          <w:szCs w:val="22"/>
        </w:rPr>
      </w:pPr>
    </w:p>
    <w:p w14:paraId="729CE704" w14:textId="77777777" w:rsidR="00D93A89" w:rsidRPr="00F836E1" w:rsidRDefault="00D93A89" w:rsidP="00F836E1">
      <w:pPr>
        <w:spacing w:after="0" w:line="240" w:lineRule="auto"/>
        <w:jc w:val="center"/>
        <w:rPr>
          <w:rFonts w:ascii="Arial" w:eastAsia="Times New Roman" w:hAnsi="Arial" w:cs="Arial"/>
          <w:lang w:eastAsia="pt-BR"/>
        </w:rPr>
      </w:pPr>
    </w:p>
    <w:p w14:paraId="08577A18" w14:textId="77777777" w:rsidR="00D93A89" w:rsidRPr="00F836E1" w:rsidRDefault="00D93A89" w:rsidP="00F836E1">
      <w:pPr>
        <w:jc w:val="center"/>
        <w:rPr>
          <w:rFonts w:ascii="Arial" w:hAnsi="Arial" w:cs="Arial"/>
        </w:rPr>
      </w:pPr>
    </w:p>
    <w:p w14:paraId="3EF5C909" w14:textId="77777777" w:rsidR="00AD7FA5" w:rsidRPr="00F836E1" w:rsidRDefault="00AD7FA5" w:rsidP="00796684">
      <w:pPr>
        <w:spacing w:after="0" w:line="240" w:lineRule="auto"/>
        <w:jc w:val="both"/>
        <w:rPr>
          <w:rFonts w:ascii="Arial" w:eastAsia="Times New Roman" w:hAnsi="Arial" w:cs="Arial"/>
          <w:noProof w:val="0"/>
          <w:color w:val="303030"/>
          <w:lang w:eastAsia="pt-BR"/>
        </w:rPr>
      </w:pPr>
    </w:p>
    <w:p w14:paraId="00F38A59" w14:textId="1815483F" w:rsidR="00B87D38" w:rsidRPr="00F836E1" w:rsidRDefault="00B87D38" w:rsidP="00796684">
      <w:pPr>
        <w:jc w:val="both"/>
        <w:rPr>
          <w:rFonts w:ascii="Arial" w:hAnsi="Arial" w:cs="Arial"/>
        </w:rPr>
      </w:pPr>
    </w:p>
    <w:sectPr w:rsidR="00B87D38" w:rsidRPr="00F836E1" w:rsidSect="00F836E1">
      <w:headerReference w:type="default" r:id="rId8"/>
      <w:footerReference w:type="default" r:id="rId9"/>
      <w:pgSz w:w="11906" w:h="16838" w:code="9"/>
      <w:pgMar w:top="1724" w:right="1134" w:bottom="1134" w:left="1701" w:header="284" w:footer="6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F3B6AC" w14:textId="77777777" w:rsidR="00346267" w:rsidRDefault="00346267" w:rsidP="005616A9">
      <w:pPr>
        <w:spacing w:after="0" w:line="240" w:lineRule="auto"/>
      </w:pPr>
      <w:r>
        <w:separator/>
      </w:r>
    </w:p>
  </w:endnote>
  <w:endnote w:type="continuationSeparator" w:id="0">
    <w:p w14:paraId="26D067E6" w14:textId="77777777" w:rsidR="00346267" w:rsidRDefault="00346267" w:rsidP="00561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E9F90" w14:textId="048E00E5" w:rsidR="005B2B80" w:rsidRDefault="006837CA" w:rsidP="00B42E61">
    <w:pPr>
      <w:pStyle w:val="Rodap"/>
      <w:tabs>
        <w:tab w:val="clear" w:pos="4252"/>
        <w:tab w:val="clear" w:pos="8504"/>
        <w:tab w:val="left" w:pos="1377"/>
        <w:tab w:val="right" w:pos="4492"/>
      </w:tabs>
    </w:pPr>
    <w:r w:rsidRPr="00325612">
      <w:rPr>
        <w:rFonts w:cstheme="minorHAnsi"/>
        <w:sz w:val="18"/>
        <w:szCs w:val="18"/>
      </w:rPr>
      <w:drawing>
        <wp:anchor distT="0" distB="0" distL="114300" distR="114300" simplePos="0" relativeHeight="251668480" behindDoc="1" locked="0" layoutInCell="1" allowOverlap="1" wp14:anchorId="245B5BFF" wp14:editId="735681C1">
          <wp:simplePos x="0" y="0"/>
          <wp:positionH relativeFrom="margin">
            <wp:align>left</wp:align>
          </wp:positionH>
          <wp:positionV relativeFrom="paragraph">
            <wp:posOffset>25759</wp:posOffset>
          </wp:positionV>
          <wp:extent cx="1323340" cy="629285"/>
          <wp:effectExtent l="0" t="0" r="0" b="0"/>
          <wp:wrapSquare wrapText="bothSides"/>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l="9835" t="88851" r="72661" b="6584"/>
                  <a:stretch/>
                </pic:blipFill>
                <pic:spPr bwMode="auto">
                  <a:xfrm>
                    <a:off x="0" y="0"/>
                    <a:ext cx="1323340" cy="6292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22C9" w:rsidRPr="005B2B80">
      <w:rPr>
        <w:rFonts w:cstheme="minorHAnsi"/>
        <w:sz w:val="16"/>
        <w:szCs w:val="16"/>
      </w:rPr>
      <mc:AlternateContent>
        <mc:Choice Requires="wps">
          <w:drawing>
            <wp:anchor distT="45720" distB="45720" distL="114300" distR="114300" simplePos="0" relativeHeight="251663360" behindDoc="0" locked="0" layoutInCell="1" allowOverlap="1" wp14:anchorId="34960D43" wp14:editId="21FDA7E4">
              <wp:simplePos x="0" y="0"/>
              <wp:positionH relativeFrom="margin">
                <wp:posOffset>4730115</wp:posOffset>
              </wp:positionH>
              <wp:positionV relativeFrom="margin">
                <wp:posOffset>9148445</wp:posOffset>
              </wp:positionV>
              <wp:extent cx="1552575" cy="267335"/>
              <wp:effectExtent l="0" t="0" r="0" b="0"/>
              <wp:wrapThrough wrapText="bothSides">
                <wp:wrapPolygon edited="0">
                  <wp:start x="795" y="0"/>
                  <wp:lineTo x="795" y="20010"/>
                  <wp:lineTo x="20672" y="20010"/>
                  <wp:lineTo x="20672" y="0"/>
                  <wp:lineTo x="795" y="0"/>
                </wp:wrapPolygon>
              </wp:wrapThrough>
              <wp:docPr id="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267335"/>
                      </a:xfrm>
                      <a:prstGeom prst="rect">
                        <a:avLst/>
                      </a:prstGeom>
                      <a:noFill/>
                      <a:ln w="9525">
                        <a:noFill/>
                        <a:miter lim="800000"/>
                        <a:headEnd/>
                        <a:tailEnd/>
                      </a:ln>
                    </wps:spPr>
                    <wps:txbx>
                      <w:txbxContent>
                        <w:p w14:paraId="2EAE253D" w14:textId="77777777" w:rsidR="00353039" w:rsidRPr="00045F8D" w:rsidRDefault="00353039" w:rsidP="00353039">
                          <w:pPr>
                            <w:spacing w:after="0" w:line="240" w:lineRule="auto"/>
                            <w:rPr>
                              <w:b/>
                              <w:color w:val="7F7F7F" w:themeColor="text1" w:themeTint="80"/>
                              <w:sz w:val="13"/>
                              <w:szCs w:val="13"/>
                            </w:rPr>
                          </w:pPr>
                          <w:r w:rsidRPr="00045F8D">
                            <w:rPr>
                              <w:b/>
                              <w:color w:val="7F7F7F" w:themeColor="text1" w:themeTint="80"/>
                              <w:sz w:val="13"/>
                              <w:szCs w:val="13"/>
                            </w:rPr>
                            <w:t>"Doe órgãos! Doe sangue! Salve Vidas"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960D43" id="_x0000_t202" coordsize="21600,21600" o:spt="202" path="m,l,21600r21600,l21600,xe">
              <v:stroke joinstyle="miter"/>
              <v:path gradientshapeok="t" o:connecttype="rect"/>
            </v:shapetype>
            <v:shape id="Caixa de Texto 2" o:spid="_x0000_s1026" type="#_x0000_t202" style="position:absolute;margin-left:372.45pt;margin-top:720.35pt;width:122.25pt;height:21.0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" filled="f" stroked="f">
              <v:textbox>
                <w:txbxContent>
                  <w:p w14:paraId="2EAE253D" w14:textId="77777777" w:rsidR="00353039" w:rsidRPr="00045F8D" w:rsidRDefault="00353039" w:rsidP="00353039">
                    <w:pPr>
                      <w:spacing w:after="0" w:line="240" w:lineRule="auto"/>
                      <w:rPr>
                        <w:b/>
                        <w:color w:val="7F7F7F" w:themeColor="text1" w:themeTint="80"/>
                        <w:sz w:val="13"/>
                        <w:szCs w:val="13"/>
                      </w:rPr>
                    </w:pPr>
                    <w:r w:rsidRPr="00045F8D">
                      <w:rPr>
                        <w:b/>
                        <w:color w:val="7F7F7F" w:themeColor="text1" w:themeTint="80"/>
                        <w:sz w:val="13"/>
                        <w:szCs w:val="13"/>
                      </w:rPr>
                      <w:t>"Doe órgãos! Doe sangue! Salve Vidas"</w:t>
                    </w:r>
                  </w:p>
                </w:txbxContent>
              </v:textbox>
              <w10:wrap type="through" anchorx="margin" anchory="margin"/>
            </v:shape>
          </w:pict>
        </mc:Fallback>
      </mc:AlternateContent>
    </w:r>
    <w:r w:rsidR="008122C9" w:rsidRPr="005B2B80">
      <w:rPr>
        <w:rFonts w:cstheme="minorHAnsi"/>
        <w:sz w:val="16"/>
        <w:szCs w:val="16"/>
      </w:rPr>
      <mc:AlternateContent>
        <mc:Choice Requires="wps">
          <w:drawing>
            <wp:anchor distT="45720" distB="45720" distL="114300" distR="114300" simplePos="0" relativeHeight="251661312" behindDoc="0" locked="0" layoutInCell="1" allowOverlap="1" wp14:anchorId="1B4FAEC6" wp14:editId="5AF0B313">
              <wp:simplePos x="0" y="0"/>
              <wp:positionH relativeFrom="margin">
                <wp:posOffset>2966720</wp:posOffset>
              </wp:positionH>
              <wp:positionV relativeFrom="margin">
                <wp:posOffset>8844915</wp:posOffset>
              </wp:positionV>
              <wp:extent cx="3295650" cy="441325"/>
              <wp:effectExtent l="0" t="0" r="0" b="0"/>
              <wp:wrapThrough wrapText="bothSides">
                <wp:wrapPolygon edited="0">
                  <wp:start x="0" y="0"/>
                  <wp:lineTo x="0" y="20512"/>
                  <wp:lineTo x="21475" y="20512"/>
                  <wp:lineTo x="21475" y="0"/>
                  <wp:lineTo x="0" y="0"/>
                </wp:wrapPolygon>
              </wp:wrapThrough>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0" cy="441325"/>
                      </a:xfrm>
                      <a:prstGeom prst="rect">
                        <a:avLst/>
                      </a:prstGeom>
                      <a:solidFill>
                        <a:srgbClr val="FFFFFF"/>
                      </a:solidFill>
                      <a:ln w="9525">
                        <a:noFill/>
                        <a:miter lim="800000"/>
                        <a:headEnd/>
                        <a:tailEnd/>
                      </a:ln>
                    </wps:spPr>
                    <wps:txbx>
                      <w:txbxContent>
                        <w:p w14:paraId="0607047D" w14:textId="77777777" w:rsidR="00082F6A" w:rsidRPr="00082F6A" w:rsidRDefault="00082F6A" w:rsidP="00082F6A">
                          <w:pPr>
                            <w:spacing w:after="0" w:line="240" w:lineRule="auto"/>
                            <w:jc w:val="right"/>
                            <w:rPr>
                              <w:color w:val="7F7F7F" w:themeColor="text1" w:themeTint="80"/>
                              <w:sz w:val="20"/>
                              <w:szCs w:val="20"/>
                            </w:rPr>
                          </w:pPr>
                          <w:r w:rsidRPr="00082F6A">
                            <w:rPr>
                              <w:color w:val="7F7F7F" w:themeColor="text1" w:themeTint="80"/>
                              <w:sz w:val="20"/>
                              <w:szCs w:val="20"/>
                            </w:rPr>
                            <w:t>Rua João Emílio, 100 - Centro - Navegantes - SC</w:t>
                          </w:r>
                        </w:p>
                        <w:p w14:paraId="5643F2C5" w14:textId="77777777" w:rsidR="005B2B80" w:rsidRPr="00082F6A" w:rsidRDefault="00082F6A" w:rsidP="00082F6A">
                          <w:pPr>
                            <w:spacing w:after="0" w:line="240" w:lineRule="auto"/>
                            <w:jc w:val="right"/>
                            <w:rPr>
                              <w:color w:val="7F7F7F" w:themeColor="text1" w:themeTint="80"/>
                              <w:sz w:val="20"/>
                              <w:szCs w:val="20"/>
                            </w:rPr>
                          </w:pPr>
                          <w:r w:rsidRPr="00082F6A">
                            <w:rPr>
                              <w:color w:val="7F7F7F" w:themeColor="text1" w:themeTint="80"/>
                              <w:sz w:val="20"/>
                              <w:szCs w:val="20"/>
                            </w:rPr>
                            <w:t>CEP: 88370-446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4FAEC6" id="_x0000_s1027" type="#_x0000_t202" style="position:absolute;margin-left:233.6pt;margin-top:696.45pt;width:259.5pt;height:34.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" stroked="f">
              <v:textbox>
                <w:txbxContent>
                  <w:p w14:paraId="0607047D" w14:textId="77777777" w:rsidR="00082F6A" w:rsidRPr="00082F6A" w:rsidRDefault="00082F6A" w:rsidP="00082F6A">
                    <w:pPr>
                      <w:spacing w:after="0" w:line="240" w:lineRule="auto"/>
                      <w:jc w:val="right"/>
                      <w:rPr>
                        <w:color w:val="7F7F7F" w:themeColor="text1" w:themeTint="80"/>
                        <w:sz w:val="20"/>
                        <w:szCs w:val="20"/>
                      </w:rPr>
                    </w:pPr>
                    <w:r w:rsidRPr="00082F6A">
                      <w:rPr>
                        <w:color w:val="7F7F7F" w:themeColor="text1" w:themeTint="80"/>
                        <w:sz w:val="20"/>
                        <w:szCs w:val="20"/>
                      </w:rPr>
                      <w:t>Rua João Emílio, 100 - Centro - Navegantes - SC</w:t>
                    </w:r>
                  </w:p>
                  <w:p w14:paraId="5643F2C5" w14:textId="77777777" w:rsidR="005B2B80" w:rsidRPr="00082F6A" w:rsidRDefault="00082F6A" w:rsidP="00082F6A">
                    <w:pPr>
                      <w:spacing w:after="0" w:line="240" w:lineRule="auto"/>
                      <w:jc w:val="right"/>
                      <w:rPr>
                        <w:color w:val="7F7F7F" w:themeColor="text1" w:themeTint="80"/>
                        <w:sz w:val="20"/>
                        <w:szCs w:val="20"/>
                      </w:rPr>
                    </w:pPr>
                    <w:r w:rsidRPr="00082F6A">
                      <w:rPr>
                        <w:color w:val="7F7F7F" w:themeColor="text1" w:themeTint="80"/>
                        <w:sz w:val="20"/>
                        <w:szCs w:val="20"/>
                      </w:rPr>
                      <w:t>CEP: 88370-446</w:t>
                    </w:r>
                  </w:p>
                </w:txbxContent>
              </v:textbox>
              <w10:wrap type="through" anchorx="margin" anchory="margin"/>
            </v:shape>
          </w:pict>
        </mc:Fallback>
      </mc:AlternateContent>
    </w:r>
    <w:r w:rsidR="008122C9">
      <w:tab/>
    </w:r>
    <w:r w:rsidR="00B42E61">
      <w:tab/>
    </w:r>
  </w:p>
  <w:p w14:paraId="51EC562A" w14:textId="27E12D27" w:rsidR="00075782" w:rsidRDefault="008122C9" w:rsidP="00B42E61">
    <w:pPr>
      <w:tabs>
        <w:tab w:val="left" w:pos="1240"/>
      </w:tabs>
    </w:pPr>
    <w:r w:rsidRPr="005B2B80">
      <w:rPr>
        <w:rFonts w:cstheme="minorHAnsi"/>
        <w:sz w:val="16"/>
        <w:szCs w:val="16"/>
      </w:rPr>
      <mc:AlternateContent>
        <mc:Choice Requires="wps">
          <w:drawing>
            <wp:anchor distT="45720" distB="45720" distL="114300" distR="114300" simplePos="0" relativeHeight="251666432" behindDoc="0" locked="0" layoutInCell="1" allowOverlap="1" wp14:anchorId="305D76EE" wp14:editId="0CA846BB">
              <wp:simplePos x="0" y="0"/>
              <wp:positionH relativeFrom="margin">
                <wp:posOffset>1971040</wp:posOffset>
              </wp:positionH>
              <wp:positionV relativeFrom="margin">
                <wp:posOffset>9150985</wp:posOffset>
              </wp:positionV>
              <wp:extent cx="1649095" cy="219075"/>
              <wp:effectExtent l="0" t="0" r="0" b="0"/>
              <wp:wrapThrough wrapText="bothSides">
                <wp:wrapPolygon edited="0">
                  <wp:start x="749" y="0"/>
                  <wp:lineTo x="749" y="18783"/>
                  <wp:lineTo x="20710" y="18783"/>
                  <wp:lineTo x="20710" y="0"/>
                  <wp:lineTo x="749" y="0"/>
                </wp:wrapPolygon>
              </wp:wrapThrough>
              <wp:docPr id="3" name="Caixa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9095" cy="219075"/>
                      </a:xfrm>
                      <a:prstGeom prst="rect">
                        <a:avLst/>
                      </a:prstGeom>
                      <a:noFill/>
                      <a:ln w="9525">
                        <a:noFill/>
                        <a:miter lim="800000"/>
                        <a:headEnd/>
                        <a:tailEnd/>
                      </a:ln>
                    </wps:spPr>
                    <wps:txbx>
                      <w:txbxContent>
                        <w:p w14:paraId="384FF8ED" w14:textId="77777777" w:rsidR="008122C9" w:rsidRPr="00045F8D" w:rsidRDefault="008122C9" w:rsidP="008122C9">
                          <w:pPr>
                            <w:spacing w:after="0" w:line="240" w:lineRule="auto"/>
                            <w:jc w:val="center"/>
                            <w:rPr>
                              <w:b/>
                              <w:color w:val="7F7F7F" w:themeColor="text1" w:themeTint="80"/>
                              <w:sz w:val="13"/>
                              <w:szCs w:val="13"/>
                            </w:rPr>
                          </w:pPr>
                          <w:r>
                            <w:rPr>
                              <w:b/>
                              <w:color w:val="7F7F7F" w:themeColor="text1" w:themeTint="80"/>
                              <w:sz w:val="13"/>
                              <w:szCs w:val="13"/>
                            </w:rPr>
                            <w:fldChar w:fldCharType="begin"/>
                          </w:r>
                          <w:r>
                            <w:rPr>
                              <w:b/>
                              <w:color w:val="7F7F7F" w:themeColor="text1" w:themeTint="80"/>
                              <w:sz w:val="13"/>
                              <w:szCs w:val="13"/>
                            </w:rPr>
                            <w:instrText xml:space="preserve"> PAGE   \* MERGEFORMAT </w:instrText>
                          </w:r>
                          <w:r>
                            <w:rPr>
                              <w:b/>
                              <w:color w:val="7F7F7F" w:themeColor="text1" w:themeTint="80"/>
                              <w:sz w:val="13"/>
                              <w:szCs w:val="13"/>
                            </w:rPr>
                            <w:fldChar w:fldCharType="separate"/>
                          </w:r>
                          <w:r>
                            <w:rPr>
                              <w:b/>
                              <w:color w:val="7F7F7F" w:themeColor="text1" w:themeTint="80"/>
                              <w:sz w:val="13"/>
                              <w:szCs w:val="13"/>
                            </w:rPr>
                            <w:t>1</w:t>
                          </w:r>
                          <w:r>
                            <w:rPr>
                              <w:b/>
                              <w:color w:val="7F7F7F" w:themeColor="text1" w:themeTint="80"/>
                              <w:sz w:val="13"/>
                              <w:szCs w:val="13"/>
                            </w:rPr>
                            <w:fldChar w:fldCharType="end"/>
                          </w:r>
                          <w:r>
                            <w:rPr>
                              <w:b/>
                              <w:color w:val="7F7F7F" w:themeColor="text1" w:themeTint="80"/>
                              <w:sz w:val="13"/>
                              <w:szCs w:val="13"/>
                            </w:rPr>
                            <w:t xml:space="preserve"> / </w:t>
                          </w:r>
                          <w:r>
                            <w:rPr>
                              <w:b/>
                              <w:color w:val="7F7F7F" w:themeColor="text1" w:themeTint="80"/>
                              <w:sz w:val="13"/>
                              <w:szCs w:val="13"/>
                            </w:rPr>
                            <w:fldChar w:fldCharType="begin"/>
                          </w:r>
                          <w:r>
                            <w:rPr>
                              <w:b/>
                              <w:color w:val="7F7F7F" w:themeColor="text1" w:themeTint="80"/>
                              <w:sz w:val="13"/>
                              <w:szCs w:val="13"/>
                            </w:rPr>
                            <w:instrText xml:space="preserve"> NUMPAGES   \* MERGEFORMAT </w:instrText>
                          </w:r>
                          <w:r>
                            <w:rPr>
                              <w:b/>
                              <w:color w:val="7F7F7F" w:themeColor="text1" w:themeTint="80"/>
                              <w:sz w:val="13"/>
                              <w:szCs w:val="13"/>
                            </w:rPr>
                            <w:fldChar w:fldCharType="separate"/>
                          </w:r>
                          <w:r>
                            <w:rPr>
                              <w:b/>
                              <w:color w:val="7F7F7F" w:themeColor="text1" w:themeTint="80"/>
                              <w:sz w:val="13"/>
                              <w:szCs w:val="13"/>
                            </w:rPr>
                            <w:t>1</w:t>
                          </w:r>
                          <w:r>
                            <w:rPr>
                              <w:b/>
                              <w:color w:val="7F7F7F" w:themeColor="text1" w:themeTint="80"/>
                              <w:sz w:val="13"/>
                              <w:szCs w:val="13"/>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5D76EE" id="Caixa de Texto 3" o:spid="_x0000_s1028" type="#_x0000_t202" style="position:absolute;margin-left:155.2pt;margin-top:720.55pt;width:129.85pt;height:17.2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" filled="f" stroked="f">
              <v:textbox>
                <w:txbxContent>
                  <w:p w14:paraId="384FF8ED" w14:textId="77777777" w:rsidR="008122C9" w:rsidRPr="00045F8D" w:rsidRDefault="008122C9" w:rsidP="008122C9">
                    <w:pPr>
                      <w:spacing w:after="0" w:line="240" w:lineRule="auto"/>
                      <w:jc w:val="center"/>
                      <w:rPr>
                        <w:b/>
                        <w:color w:val="7F7F7F" w:themeColor="text1" w:themeTint="80"/>
                        <w:sz w:val="13"/>
                        <w:szCs w:val="13"/>
                      </w:rPr>
                    </w:pPr>
                    <w:r>
                      <w:rPr>
                        <w:b/>
                        <w:color w:val="7F7F7F" w:themeColor="text1" w:themeTint="80"/>
                        <w:sz w:val="13"/>
                        <w:szCs w:val="13"/>
                      </w:rPr>
                      <w:fldChar w:fldCharType="begin"/>
                    </w:r>
                    <w:r>
                      <w:rPr>
                        <w:b/>
                        <w:color w:val="7F7F7F" w:themeColor="text1" w:themeTint="80"/>
                        <w:sz w:val="13"/>
                        <w:szCs w:val="13"/>
                      </w:rPr>
                      <w:instrText xml:space="preserve"> PAGE   \* MERGEFORMAT </w:instrText>
                    </w:r>
                    <w:r>
                      <w:rPr>
                        <w:b/>
                        <w:color w:val="7F7F7F" w:themeColor="text1" w:themeTint="80"/>
                        <w:sz w:val="13"/>
                        <w:szCs w:val="13"/>
                      </w:rPr>
                      <w:fldChar w:fldCharType="separate"/>
                    </w:r>
                    <w:r>
                      <w:rPr>
                        <w:b/>
                        <w:color w:val="7F7F7F" w:themeColor="text1" w:themeTint="80"/>
                        <w:sz w:val="13"/>
                        <w:szCs w:val="13"/>
                      </w:rPr>
                      <w:t>1</w:t>
                    </w:r>
                    <w:r>
                      <w:rPr>
                        <w:b/>
                        <w:color w:val="7F7F7F" w:themeColor="text1" w:themeTint="80"/>
                        <w:sz w:val="13"/>
                        <w:szCs w:val="13"/>
                      </w:rPr>
                      <w:fldChar w:fldCharType="end"/>
                    </w:r>
                    <w:r>
                      <w:rPr>
                        <w:b/>
                        <w:color w:val="7F7F7F" w:themeColor="text1" w:themeTint="80"/>
                        <w:sz w:val="13"/>
                        <w:szCs w:val="13"/>
                      </w:rPr>
                      <w:t xml:space="preserve"> / </w:t>
                    </w:r>
                    <w:r>
                      <w:rPr>
                        <w:b/>
                        <w:color w:val="7F7F7F" w:themeColor="text1" w:themeTint="80"/>
                        <w:sz w:val="13"/>
                        <w:szCs w:val="13"/>
                      </w:rPr>
                      <w:fldChar w:fldCharType="begin"/>
                    </w:r>
                    <w:r>
                      <w:rPr>
                        <w:b/>
                        <w:color w:val="7F7F7F" w:themeColor="text1" w:themeTint="80"/>
                        <w:sz w:val="13"/>
                        <w:szCs w:val="13"/>
                      </w:rPr>
                      <w:instrText xml:space="preserve"> NUMPAGES   \* MERGEFORMAT </w:instrText>
                    </w:r>
                    <w:r>
                      <w:rPr>
                        <w:b/>
                        <w:color w:val="7F7F7F" w:themeColor="text1" w:themeTint="80"/>
                        <w:sz w:val="13"/>
                        <w:szCs w:val="13"/>
                      </w:rPr>
                      <w:fldChar w:fldCharType="separate"/>
                    </w:r>
                    <w:r>
                      <w:rPr>
                        <w:b/>
                        <w:color w:val="7F7F7F" w:themeColor="text1" w:themeTint="80"/>
                        <w:sz w:val="13"/>
                        <w:szCs w:val="13"/>
                      </w:rPr>
                      <w:t>1</w:t>
                    </w:r>
                    <w:r>
                      <w:rPr>
                        <w:b/>
                        <w:color w:val="7F7F7F" w:themeColor="text1" w:themeTint="80"/>
                        <w:sz w:val="13"/>
                        <w:szCs w:val="13"/>
                      </w:rPr>
                      <w:fldChar w:fldCharType="end"/>
                    </w:r>
                  </w:p>
                </w:txbxContent>
              </v:textbox>
              <w10:wrap type="through" anchorx="margin" anchory="margin"/>
            </v:shape>
          </w:pict>
        </mc:Fallback>
      </mc:AlternateContent>
    </w:r>
    <w:r w:rsidR="00B42E61">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334582" w14:textId="77777777" w:rsidR="00346267" w:rsidRDefault="00346267" w:rsidP="005616A9">
      <w:pPr>
        <w:spacing w:after="0" w:line="240" w:lineRule="auto"/>
      </w:pPr>
      <w:r>
        <w:separator/>
      </w:r>
    </w:p>
  </w:footnote>
  <w:footnote w:type="continuationSeparator" w:id="0">
    <w:p w14:paraId="496CE002" w14:textId="77777777" w:rsidR="00346267" w:rsidRDefault="00346267" w:rsidP="005616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B2879" w14:textId="5D63A255" w:rsidR="005616A9" w:rsidRDefault="00B42E61">
    <w:pPr>
      <w:pStyle w:val="Cabealho"/>
    </w:pPr>
    <w:bookmarkStart w:id="1" w:name="_Hlk85545436"/>
    <w:bookmarkEnd w:id="1"/>
    <w:r w:rsidRPr="00E44173">
      <w:rPr>
        <w:rFonts w:ascii="Arial" w:hAnsi="Arial" w:cs="Arial"/>
      </w:rPr>
      <w:drawing>
        <wp:inline distT="0" distB="0" distL="0" distR="0" wp14:anchorId="52578C11" wp14:editId="1180926B">
          <wp:extent cx="5772150" cy="1040513"/>
          <wp:effectExtent l="0" t="0" r="0" b="762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9889" t="6793" r="9283" b="81185"/>
                  <a:stretch/>
                </pic:blipFill>
                <pic:spPr bwMode="auto">
                  <a:xfrm>
                    <a:off x="0" y="0"/>
                    <a:ext cx="5871863" cy="105848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41D2D"/>
    <w:multiLevelType w:val="hybridMultilevel"/>
    <w:tmpl w:val="5708232E"/>
    <w:lvl w:ilvl="0" w:tplc="D4E013DC">
      <w:start w:val="1"/>
      <w:numFmt w:val="decimal"/>
      <w:lvlText w:val="%1-"/>
      <w:lvlJc w:val="left"/>
      <w:pPr>
        <w:ind w:left="405" w:hanging="360"/>
      </w:pPr>
      <w:rPr>
        <w:rFonts w:hint="default"/>
      </w:rPr>
    </w:lvl>
    <w:lvl w:ilvl="1" w:tplc="04160019" w:tentative="1">
      <w:start w:val="1"/>
      <w:numFmt w:val="lowerLetter"/>
      <w:lvlText w:val="%2."/>
      <w:lvlJc w:val="left"/>
      <w:pPr>
        <w:ind w:left="1125" w:hanging="360"/>
      </w:pPr>
    </w:lvl>
    <w:lvl w:ilvl="2" w:tplc="0416001B" w:tentative="1">
      <w:start w:val="1"/>
      <w:numFmt w:val="lowerRoman"/>
      <w:lvlText w:val="%3."/>
      <w:lvlJc w:val="right"/>
      <w:pPr>
        <w:ind w:left="1845" w:hanging="180"/>
      </w:pPr>
    </w:lvl>
    <w:lvl w:ilvl="3" w:tplc="0416000F" w:tentative="1">
      <w:start w:val="1"/>
      <w:numFmt w:val="decimal"/>
      <w:lvlText w:val="%4."/>
      <w:lvlJc w:val="left"/>
      <w:pPr>
        <w:ind w:left="2565" w:hanging="360"/>
      </w:pPr>
    </w:lvl>
    <w:lvl w:ilvl="4" w:tplc="04160019" w:tentative="1">
      <w:start w:val="1"/>
      <w:numFmt w:val="lowerLetter"/>
      <w:lvlText w:val="%5."/>
      <w:lvlJc w:val="left"/>
      <w:pPr>
        <w:ind w:left="3285" w:hanging="360"/>
      </w:pPr>
    </w:lvl>
    <w:lvl w:ilvl="5" w:tplc="0416001B" w:tentative="1">
      <w:start w:val="1"/>
      <w:numFmt w:val="lowerRoman"/>
      <w:lvlText w:val="%6."/>
      <w:lvlJc w:val="right"/>
      <w:pPr>
        <w:ind w:left="4005" w:hanging="180"/>
      </w:pPr>
    </w:lvl>
    <w:lvl w:ilvl="6" w:tplc="0416000F" w:tentative="1">
      <w:start w:val="1"/>
      <w:numFmt w:val="decimal"/>
      <w:lvlText w:val="%7."/>
      <w:lvlJc w:val="left"/>
      <w:pPr>
        <w:ind w:left="4725" w:hanging="360"/>
      </w:pPr>
    </w:lvl>
    <w:lvl w:ilvl="7" w:tplc="04160019" w:tentative="1">
      <w:start w:val="1"/>
      <w:numFmt w:val="lowerLetter"/>
      <w:lvlText w:val="%8."/>
      <w:lvlJc w:val="left"/>
      <w:pPr>
        <w:ind w:left="5445" w:hanging="360"/>
      </w:pPr>
    </w:lvl>
    <w:lvl w:ilvl="8" w:tplc="0416001B" w:tentative="1">
      <w:start w:val="1"/>
      <w:numFmt w:val="lowerRoman"/>
      <w:lvlText w:val="%9."/>
      <w:lvlJc w:val="right"/>
      <w:pPr>
        <w:ind w:left="6165" w:hanging="180"/>
      </w:pPr>
    </w:lvl>
  </w:abstractNum>
  <w:abstractNum w:abstractNumId="1" w15:restartNumberingAfterBreak="0">
    <w:nsid w:val="30BF40DE"/>
    <w:multiLevelType w:val="multilevel"/>
    <w:tmpl w:val="A91AF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471FBE"/>
    <w:multiLevelType w:val="multilevel"/>
    <w:tmpl w:val="E7BE0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6A9"/>
    <w:rsid w:val="000139B4"/>
    <w:rsid w:val="000306E5"/>
    <w:rsid w:val="00041E72"/>
    <w:rsid w:val="000454CF"/>
    <w:rsid w:val="00045EB2"/>
    <w:rsid w:val="00075782"/>
    <w:rsid w:val="00082F6A"/>
    <w:rsid w:val="00086E91"/>
    <w:rsid w:val="00094536"/>
    <w:rsid w:val="000B081C"/>
    <w:rsid w:val="000B73E1"/>
    <w:rsid w:val="000D0E4F"/>
    <w:rsid w:val="000F0DE9"/>
    <w:rsid w:val="000F4CB9"/>
    <w:rsid w:val="00102AEA"/>
    <w:rsid w:val="00113356"/>
    <w:rsid w:val="001148F5"/>
    <w:rsid w:val="001270C5"/>
    <w:rsid w:val="0013733A"/>
    <w:rsid w:val="00142559"/>
    <w:rsid w:val="00143CAD"/>
    <w:rsid w:val="00151542"/>
    <w:rsid w:val="00156C96"/>
    <w:rsid w:val="00164B67"/>
    <w:rsid w:val="00196F44"/>
    <w:rsid w:val="001A0541"/>
    <w:rsid w:val="001B0258"/>
    <w:rsid w:val="001D144B"/>
    <w:rsid w:val="002074F0"/>
    <w:rsid w:val="00222AEB"/>
    <w:rsid w:val="00297737"/>
    <w:rsid w:val="002C3BA6"/>
    <w:rsid w:val="002E3241"/>
    <w:rsid w:val="002E4A12"/>
    <w:rsid w:val="00310CE2"/>
    <w:rsid w:val="00317D00"/>
    <w:rsid w:val="003365CD"/>
    <w:rsid w:val="00337553"/>
    <w:rsid w:val="00346267"/>
    <w:rsid w:val="00353039"/>
    <w:rsid w:val="003543A2"/>
    <w:rsid w:val="003B41A3"/>
    <w:rsid w:val="003D4E3A"/>
    <w:rsid w:val="003F7C07"/>
    <w:rsid w:val="00416390"/>
    <w:rsid w:val="00451D72"/>
    <w:rsid w:val="00484AE8"/>
    <w:rsid w:val="004B0513"/>
    <w:rsid w:val="004C24C4"/>
    <w:rsid w:val="004F7512"/>
    <w:rsid w:val="00520DF3"/>
    <w:rsid w:val="0052253B"/>
    <w:rsid w:val="00525B3B"/>
    <w:rsid w:val="00526340"/>
    <w:rsid w:val="00532A83"/>
    <w:rsid w:val="00532F2E"/>
    <w:rsid w:val="005616A9"/>
    <w:rsid w:val="00582E7F"/>
    <w:rsid w:val="0059144F"/>
    <w:rsid w:val="005A150A"/>
    <w:rsid w:val="005B2B80"/>
    <w:rsid w:val="005E4DB8"/>
    <w:rsid w:val="005E5FD4"/>
    <w:rsid w:val="006314EA"/>
    <w:rsid w:val="006837CA"/>
    <w:rsid w:val="006A2536"/>
    <w:rsid w:val="00714DEB"/>
    <w:rsid w:val="00761CBF"/>
    <w:rsid w:val="007823A1"/>
    <w:rsid w:val="00796684"/>
    <w:rsid w:val="007A019E"/>
    <w:rsid w:val="007A158F"/>
    <w:rsid w:val="007C0909"/>
    <w:rsid w:val="007D309E"/>
    <w:rsid w:val="007D51FE"/>
    <w:rsid w:val="007D53FF"/>
    <w:rsid w:val="00804BC8"/>
    <w:rsid w:val="008122C9"/>
    <w:rsid w:val="00815E29"/>
    <w:rsid w:val="00816AE0"/>
    <w:rsid w:val="00857D35"/>
    <w:rsid w:val="00885E20"/>
    <w:rsid w:val="00886890"/>
    <w:rsid w:val="008930A3"/>
    <w:rsid w:val="008D4E19"/>
    <w:rsid w:val="008E6DC1"/>
    <w:rsid w:val="0091239B"/>
    <w:rsid w:val="0091574F"/>
    <w:rsid w:val="009556A6"/>
    <w:rsid w:val="00993A9B"/>
    <w:rsid w:val="009B5104"/>
    <w:rsid w:val="009B553D"/>
    <w:rsid w:val="009C5A27"/>
    <w:rsid w:val="009D0A6A"/>
    <w:rsid w:val="009D362D"/>
    <w:rsid w:val="009F45DC"/>
    <w:rsid w:val="00A502DD"/>
    <w:rsid w:val="00A52402"/>
    <w:rsid w:val="00A62D7E"/>
    <w:rsid w:val="00A6453F"/>
    <w:rsid w:val="00AA1A9B"/>
    <w:rsid w:val="00AD7FA5"/>
    <w:rsid w:val="00AE6E47"/>
    <w:rsid w:val="00B00336"/>
    <w:rsid w:val="00B02E8A"/>
    <w:rsid w:val="00B038A4"/>
    <w:rsid w:val="00B03A7E"/>
    <w:rsid w:val="00B20F4B"/>
    <w:rsid w:val="00B211C8"/>
    <w:rsid w:val="00B27170"/>
    <w:rsid w:val="00B42E61"/>
    <w:rsid w:val="00B46C92"/>
    <w:rsid w:val="00B600D8"/>
    <w:rsid w:val="00B87D38"/>
    <w:rsid w:val="00B90DC4"/>
    <w:rsid w:val="00BB236D"/>
    <w:rsid w:val="00BC4D85"/>
    <w:rsid w:val="00BD1A79"/>
    <w:rsid w:val="00BD636D"/>
    <w:rsid w:val="00BD687B"/>
    <w:rsid w:val="00BF5C3B"/>
    <w:rsid w:val="00C3367A"/>
    <w:rsid w:val="00C711C2"/>
    <w:rsid w:val="00C73A16"/>
    <w:rsid w:val="00C76805"/>
    <w:rsid w:val="00CB6899"/>
    <w:rsid w:val="00CD039B"/>
    <w:rsid w:val="00CD61FA"/>
    <w:rsid w:val="00CD666C"/>
    <w:rsid w:val="00CE487F"/>
    <w:rsid w:val="00D22E72"/>
    <w:rsid w:val="00D23C6D"/>
    <w:rsid w:val="00D45504"/>
    <w:rsid w:val="00D70FF7"/>
    <w:rsid w:val="00D91428"/>
    <w:rsid w:val="00D93A89"/>
    <w:rsid w:val="00DE732E"/>
    <w:rsid w:val="00DF3A19"/>
    <w:rsid w:val="00E04095"/>
    <w:rsid w:val="00E04363"/>
    <w:rsid w:val="00E048E2"/>
    <w:rsid w:val="00E05CF1"/>
    <w:rsid w:val="00E06505"/>
    <w:rsid w:val="00E204AA"/>
    <w:rsid w:val="00E22159"/>
    <w:rsid w:val="00E34571"/>
    <w:rsid w:val="00E720B9"/>
    <w:rsid w:val="00E93FD3"/>
    <w:rsid w:val="00EA1820"/>
    <w:rsid w:val="00EC6BCB"/>
    <w:rsid w:val="00ED6BE0"/>
    <w:rsid w:val="00EE4FFD"/>
    <w:rsid w:val="00F00E64"/>
    <w:rsid w:val="00F011D7"/>
    <w:rsid w:val="00F64DA6"/>
    <w:rsid w:val="00F71BB7"/>
    <w:rsid w:val="00F80570"/>
    <w:rsid w:val="00F836E1"/>
    <w:rsid w:val="00F911D9"/>
    <w:rsid w:val="00F940AE"/>
    <w:rsid w:val="00FA7C91"/>
    <w:rsid w:val="00FE090E"/>
    <w:rsid w:val="00FE4EE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1EDA11A"/>
  <w15:chartTrackingRefBased/>
  <w15:docId w15:val="{D1FE07B2-07E3-4FE2-B52E-7CE650E8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noProof/>
    </w:rPr>
  </w:style>
  <w:style w:type="paragraph" w:styleId="Ttulo1">
    <w:name w:val="heading 1"/>
    <w:basedOn w:val="Normal"/>
    <w:link w:val="Ttulo1Char"/>
    <w:uiPriority w:val="9"/>
    <w:qFormat/>
    <w:rsid w:val="00AD7FA5"/>
    <w:pPr>
      <w:spacing w:before="100" w:beforeAutospacing="1" w:after="100" w:afterAutospacing="1" w:line="240" w:lineRule="auto"/>
      <w:outlineLvl w:val="0"/>
    </w:pPr>
    <w:rPr>
      <w:rFonts w:ascii="Times New Roman" w:eastAsia="Times New Roman" w:hAnsi="Times New Roman" w:cs="Times New Roman"/>
      <w:b/>
      <w:bCs/>
      <w:noProof w:val="0"/>
      <w:kern w:val="36"/>
      <w:sz w:val="48"/>
      <w:szCs w:val="48"/>
      <w:lang w:eastAsia="pt-BR"/>
    </w:rPr>
  </w:style>
  <w:style w:type="paragraph" w:styleId="Ttulo3">
    <w:name w:val="heading 3"/>
    <w:basedOn w:val="Normal"/>
    <w:next w:val="Normal"/>
    <w:link w:val="Ttulo3Char"/>
    <w:uiPriority w:val="9"/>
    <w:semiHidden/>
    <w:unhideWhenUsed/>
    <w:qFormat/>
    <w:rsid w:val="00D93A8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har"/>
    <w:uiPriority w:val="9"/>
    <w:semiHidden/>
    <w:unhideWhenUsed/>
    <w:qFormat/>
    <w:rsid w:val="00D93A8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R">
    <w:name w:val="T.R"/>
    <w:basedOn w:val="TabeladeGrade4-nfase3"/>
    <w:rsid w:val="00113356"/>
    <w:rPr>
      <w:rFonts w:eastAsia="Times New Roman" w:cs="Times New Roman"/>
      <w:color w:val="000000" w:themeColor="text1"/>
      <w:sz w:val="20"/>
      <w:szCs w:val="20"/>
      <w:lang w:eastAsia="pt-BR"/>
    </w:rPr>
    <w:tblP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cPr>
      <w:shd w:val="clear" w:color="auto" w:fill="D9D9D9" w:themeFill="background1" w:themeFillShade="D9"/>
    </w:tcPr>
    <w:tblStylePr w:type="firstRow">
      <w:rPr>
        <w:rFonts w:ascii="Calibri" w:hAnsi="Calibri"/>
        <w:b/>
        <w:bCs/>
        <w:color w:val="FFFFFF"/>
        <w:sz w:val="20"/>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000000" w:themeFill="text1"/>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rPr>
        <w:rFonts w:ascii="Calibri" w:hAnsi="Calibri"/>
        <w:b w:val="0"/>
        <w:i w:val="0"/>
        <w:caps w:val="0"/>
        <w:smallCaps w:val="0"/>
        <w:strike w:val="0"/>
        <w:dstrike w:val="0"/>
        <w:outline w:val="0"/>
        <w:shadow w:val="0"/>
        <w:emboss w:val="0"/>
        <w:imprint w:val="0"/>
        <w:vanish w:val="0"/>
        <w:color w:val="auto"/>
        <w:sz w:val="20"/>
        <w:u w:val="none"/>
        <w:vertAlign w:val="baseline"/>
      </w:rPr>
      <w:tblPr>
        <w:tblCellMar>
          <w:top w:w="17" w:type="dxa"/>
          <w:left w:w="108" w:type="dxa"/>
          <w:bottom w:w="17" w:type="dxa"/>
          <w:right w:w="108" w:type="dxa"/>
        </w:tblCellMar>
      </w:tblPr>
      <w:tcPr>
        <w:shd w:val="clear" w:color="auto" w:fill="D0CECE" w:themeFill="background2" w:themeFillShade="E6"/>
      </w:tcPr>
    </w:tblStylePr>
    <w:tblStylePr w:type="band2Horz">
      <w:tblPr/>
      <w:tcPr>
        <w:shd w:val="clear" w:color="auto" w:fill="FFFFFF" w:themeFill="background1"/>
      </w:tcPr>
    </w:tblStylePr>
  </w:style>
  <w:style w:type="table" w:styleId="TabeladeGrade4-nfase3">
    <w:name w:val="Grid Table 4 Accent 3"/>
    <w:basedOn w:val="Tabelanormal"/>
    <w:uiPriority w:val="49"/>
    <w:rsid w:val="0011335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Cabealho">
    <w:name w:val="header"/>
    <w:basedOn w:val="Normal"/>
    <w:link w:val="CabealhoChar"/>
    <w:uiPriority w:val="99"/>
    <w:unhideWhenUsed/>
    <w:rsid w:val="005616A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616A9"/>
    <w:rPr>
      <w:noProof/>
    </w:rPr>
  </w:style>
  <w:style w:type="paragraph" w:styleId="Rodap">
    <w:name w:val="footer"/>
    <w:basedOn w:val="Normal"/>
    <w:link w:val="RodapChar"/>
    <w:uiPriority w:val="99"/>
    <w:unhideWhenUsed/>
    <w:rsid w:val="005616A9"/>
    <w:pPr>
      <w:tabs>
        <w:tab w:val="center" w:pos="4252"/>
        <w:tab w:val="right" w:pos="8504"/>
      </w:tabs>
      <w:spacing w:after="0" w:line="240" w:lineRule="auto"/>
    </w:pPr>
  </w:style>
  <w:style w:type="character" w:customStyle="1" w:styleId="RodapChar">
    <w:name w:val="Rodapé Char"/>
    <w:basedOn w:val="Fontepargpadro"/>
    <w:link w:val="Rodap"/>
    <w:uiPriority w:val="99"/>
    <w:rsid w:val="005616A9"/>
    <w:rPr>
      <w:noProof/>
    </w:rPr>
  </w:style>
  <w:style w:type="paragraph" w:customStyle="1" w:styleId="Default">
    <w:name w:val="Default"/>
    <w:rsid w:val="000139B4"/>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basedOn w:val="Normal"/>
    <w:uiPriority w:val="34"/>
    <w:qFormat/>
    <w:rsid w:val="00A62D7E"/>
    <w:pPr>
      <w:ind w:left="720"/>
      <w:contextualSpacing/>
    </w:pPr>
  </w:style>
  <w:style w:type="paragraph" w:styleId="NormalWeb">
    <w:name w:val="Normal (Web)"/>
    <w:basedOn w:val="Normal"/>
    <w:uiPriority w:val="99"/>
    <w:unhideWhenUsed/>
    <w:rsid w:val="00142559"/>
    <w:pPr>
      <w:spacing w:before="100" w:beforeAutospacing="1" w:after="100" w:afterAutospacing="1" w:line="240" w:lineRule="auto"/>
    </w:pPr>
    <w:rPr>
      <w:rFonts w:ascii="Times New Roman" w:eastAsia="Times New Roman" w:hAnsi="Times New Roman" w:cs="Times New Roman"/>
      <w:noProof w:val="0"/>
      <w:sz w:val="24"/>
      <w:szCs w:val="24"/>
      <w:lang w:eastAsia="pt-BR"/>
    </w:rPr>
  </w:style>
  <w:style w:type="character" w:styleId="Forte">
    <w:name w:val="Strong"/>
    <w:basedOn w:val="Fontepargpadro"/>
    <w:uiPriority w:val="22"/>
    <w:qFormat/>
    <w:rsid w:val="00142559"/>
    <w:rPr>
      <w:b/>
      <w:bCs/>
    </w:rPr>
  </w:style>
  <w:style w:type="character" w:customStyle="1" w:styleId="ng-star-inserted">
    <w:name w:val="ng-star-inserted"/>
    <w:basedOn w:val="Fontepargpadro"/>
    <w:rsid w:val="00796684"/>
  </w:style>
  <w:style w:type="character" w:customStyle="1" w:styleId="Ttulo1Char">
    <w:name w:val="Título 1 Char"/>
    <w:basedOn w:val="Fontepargpadro"/>
    <w:link w:val="Ttulo1"/>
    <w:uiPriority w:val="9"/>
    <w:rsid w:val="00AD7FA5"/>
    <w:rPr>
      <w:rFonts w:ascii="Times New Roman" w:eastAsia="Times New Roman" w:hAnsi="Times New Roman" w:cs="Times New Roman"/>
      <w:b/>
      <w:bCs/>
      <w:kern w:val="36"/>
      <w:sz w:val="48"/>
      <w:szCs w:val="48"/>
      <w:lang w:eastAsia="pt-BR"/>
    </w:rPr>
  </w:style>
  <w:style w:type="paragraph" w:customStyle="1" w:styleId="isselectedend">
    <w:name w:val="isselectedend"/>
    <w:basedOn w:val="Normal"/>
    <w:rsid w:val="00761CBF"/>
    <w:pPr>
      <w:spacing w:before="100" w:beforeAutospacing="1" w:after="100" w:afterAutospacing="1" w:line="240" w:lineRule="auto"/>
    </w:pPr>
    <w:rPr>
      <w:rFonts w:ascii="Times New Roman" w:eastAsia="Times New Roman" w:hAnsi="Times New Roman" w:cs="Times New Roman"/>
      <w:noProof w:val="0"/>
      <w:sz w:val="24"/>
      <w:szCs w:val="24"/>
      <w:lang w:eastAsia="pt-BR"/>
    </w:rPr>
  </w:style>
  <w:style w:type="character" w:customStyle="1" w:styleId="Ttulo3Char">
    <w:name w:val="Título 3 Char"/>
    <w:basedOn w:val="Fontepargpadro"/>
    <w:link w:val="Ttulo3"/>
    <w:uiPriority w:val="9"/>
    <w:semiHidden/>
    <w:rsid w:val="00D93A89"/>
    <w:rPr>
      <w:rFonts w:asciiTheme="majorHAnsi" w:eastAsiaTheme="majorEastAsia" w:hAnsiTheme="majorHAnsi" w:cstheme="majorBidi"/>
      <w:noProof/>
      <w:color w:val="1F3763" w:themeColor="accent1" w:themeShade="7F"/>
      <w:sz w:val="24"/>
      <w:szCs w:val="24"/>
    </w:rPr>
  </w:style>
  <w:style w:type="character" w:customStyle="1" w:styleId="Ttulo4Char">
    <w:name w:val="Título 4 Char"/>
    <w:basedOn w:val="Fontepargpadro"/>
    <w:link w:val="Ttulo4"/>
    <w:uiPriority w:val="9"/>
    <w:semiHidden/>
    <w:rsid w:val="00D93A89"/>
    <w:rPr>
      <w:rFonts w:asciiTheme="majorHAnsi" w:eastAsiaTheme="majorEastAsia" w:hAnsiTheme="majorHAnsi" w:cstheme="majorBidi"/>
      <w:i/>
      <w:iCs/>
      <w:noProof/>
      <w:color w:val="2F5496" w:themeColor="accent1" w:themeShade="BF"/>
    </w:rPr>
  </w:style>
  <w:style w:type="character" w:styleId="Refdecomentrio">
    <w:name w:val="annotation reference"/>
    <w:basedOn w:val="Fontepargpadro"/>
    <w:uiPriority w:val="99"/>
    <w:semiHidden/>
    <w:unhideWhenUsed/>
    <w:rsid w:val="00BB236D"/>
    <w:rPr>
      <w:sz w:val="16"/>
      <w:szCs w:val="16"/>
    </w:rPr>
  </w:style>
  <w:style w:type="paragraph" w:styleId="Textodecomentrio">
    <w:name w:val="annotation text"/>
    <w:basedOn w:val="Normal"/>
    <w:link w:val="TextodecomentrioChar"/>
    <w:uiPriority w:val="99"/>
    <w:semiHidden/>
    <w:unhideWhenUsed/>
    <w:rsid w:val="00BB236D"/>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BB236D"/>
    <w:rPr>
      <w:noProof/>
      <w:sz w:val="20"/>
      <w:szCs w:val="20"/>
    </w:rPr>
  </w:style>
  <w:style w:type="paragraph" w:styleId="Assuntodocomentrio">
    <w:name w:val="annotation subject"/>
    <w:basedOn w:val="Textodecomentrio"/>
    <w:next w:val="Textodecomentrio"/>
    <w:link w:val="AssuntodocomentrioChar"/>
    <w:uiPriority w:val="99"/>
    <w:semiHidden/>
    <w:unhideWhenUsed/>
    <w:rsid w:val="00BB236D"/>
    <w:rPr>
      <w:b/>
      <w:bCs/>
    </w:rPr>
  </w:style>
  <w:style w:type="character" w:customStyle="1" w:styleId="AssuntodocomentrioChar">
    <w:name w:val="Assunto do comentário Char"/>
    <w:basedOn w:val="TextodecomentrioChar"/>
    <w:link w:val="Assuntodocomentrio"/>
    <w:uiPriority w:val="99"/>
    <w:semiHidden/>
    <w:rsid w:val="00BB236D"/>
    <w:rPr>
      <w:b/>
      <w:bCs/>
      <w:noProof/>
      <w:sz w:val="20"/>
      <w:szCs w:val="20"/>
    </w:rPr>
  </w:style>
  <w:style w:type="paragraph" w:styleId="Textodebalo">
    <w:name w:val="Balloon Text"/>
    <w:basedOn w:val="Normal"/>
    <w:link w:val="TextodebaloChar"/>
    <w:uiPriority w:val="99"/>
    <w:semiHidden/>
    <w:unhideWhenUsed/>
    <w:rsid w:val="00BB236D"/>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B236D"/>
    <w:rPr>
      <w:rFonts w:ascii="Segoe UI" w:hAnsi="Segoe UI" w:cs="Segoe UI"/>
      <w:noProof/>
      <w:sz w:val="18"/>
      <w:szCs w:val="18"/>
    </w:rPr>
  </w:style>
  <w:style w:type="table" w:styleId="Tabelacomgrade">
    <w:name w:val="Table Grid"/>
    <w:basedOn w:val="Tabelanormal"/>
    <w:uiPriority w:val="39"/>
    <w:rsid w:val="00714D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39638">
      <w:bodyDiv w:val="1"/>
      <w:marLeft w:val="0"/>
      <w:marRight w:val="0"/>
      <w:marTop w:val="0"/>
      <w:marBottom w:val="0"/>
      <w:divBdr>
        <w:top w:val="none" w:sz="0" w:space="0" w:color="auto"/>
        <w:left w:val="none" w:sz="0" w:space="0" w:color="auto"/>
        <w:bottom w:val="none" w:sz="0" w:space="0" w:color="auto"/>
        <w:right w:val="none" w:sz="0" w:space="0" w:color="auto"/>
      </w:divBdr>
    </w:div>
    <w:div w:id="27030847">
      <w:bodyDiv w:val="1"/>
      <w:marLeft w:val="0"/>
      <w:marRight w:val="0"/>
      <w:marTop w:val="0"/>
      <w:marBottom w:val="0"/>
      <w:divBdr>
        <w:top w:val="none" w:sz="0" w:space="0" w:color="auto"/>
        <w:left w:val="none" w:sz="0" w:space="0" w:color="auto"/>
        <w:bottom w:val="none" w:sz="0" w:space="0" w:color="auto"/>
        <w:right w:val="none" w:sz="0" w:space="0" w:color="auto"/>
      </w:divBdr>
    </w:div>
    <w:div w:id="47188540">
      <w:bodyDiv w:val="1"/>
      <w:marLeft w:val="0"/>
      <w:marRight w:val="0"/>
      <w:marTop w:val="0"/>
      <w:marBottom w:val="0"/>
      <w:divBdr>
        <w:top w:val="none" w:sz="0" w:space="0" w:color="auto"/>
        <w:left w:val="none" w:sz="0" w:space="0" w:color="auto"/>
        <w:bottom w:val="none" w:sz="0" w:space="0" w:color="auto"/>
        <w:right w:val="none" w:sz="0" w:space="0" w:color="auto"/>
      </w:divBdr>
    </w:div>
    <w:div w:id="272370200">
      <w:bodyDiv w:val="1"/>
      <w:marLeft w:val="0"/>
      <w:marRight w:val="0"/>
      <w:marTop w:val="0"/>
      <w:marBottom w:val="0"/>
      <w:divBdr>
        <w:top w:val="none" w:sz="0" w:space="0" w:color="auto"/>
        <w:left w:val="none" w:sz="0" w:space="0" w:color="auto"/>
        <w:bottom w:val="none" w:sz="0" w:space="0" w:color="auto"/>
        <w:right w:val="none" w:sz="0" w:space="0" w:color="auto"/>
      </w:divBdr>
    </w:div>
    <w:div w:id="435446114">
      <w:bodyDiv w:val="1"/>
      <w:marLeft w:val="0"/>
      <w:marRight w:val="0"/>
      <w:marTop w:val="0"/>
      <w:marBottom w:val="0"/>
      <w:divBdr>
        <w:top w:val="none" w:sz="0" w:space="0" w:color="auto"/>
        <w:left w:val="none" w:sz="0" w:space="0" w:color="auto"/>
        <w:bottom w:val="none" w:sz="0" w:space="0" w:color="auto"/>
        <w:right w:val="none" w:sz="0" w:space="0" w:color="auto"/>
      </w:divBdr>
    </w:div>
    <w:div w:id="680206726">
      <w:bodyDiv w:val="1"/>
      <w:marLeft w:val="0"/>
      <w:marRight w:val="0"/>
      <w:marTop w:val="0"/>
      <w:marBottom w:val="0"/>
      <w:divBdr>
        <w:top w:val="none" w:sz="0" w:space="0" w:color="auto"/>
        <w:left w:val="none" w:sz="0" w:space="0" w:color="auto"/>
        <w:bottom w:val="none" w:sz="0" w:space="0" w:color="auto"/>
        <w:right w:val="none" w:sz="0" w:space="0" w:color="auto"/>
      </w:divBdr>
    </w:div>
    <w:div w:id="734355054">
      <w:bodyDiv w:val="1"/>
      <w:marLeft w:val="0"/>
      <w:marRight w:val="0"/>
      <w:marTop w:val="0"/>
      <w:marBottom w:val="0"/>
      <w:divBdr>
        <w:top w:val="none" w:sz="0" w:space="0" w:color="auto"/>
        <w:left w:val="none" w:sz="0" w:space="0" w:color="auto"/>
        <w:bottom w:val="none" w:sz="0" w:space="0" w:color="auto"/>
        <w:right w:val="none" w:sz="0" w:space="0" w:color="auto"/>
      </w:divBdr>
      <w:divsChild>
        <w:div w:id="1059592405">
          <w:marLeft w:val="0"/>
          <w:marRight w:val="0"/>
          <w:marTop w:val="0"/>
          <w:marBottom w:val="0"/>
          <w:divBdr>
            <w:top w:val="none" w:sz="0" w:space="0" w:color="auto"/>
            <w:left w:val="none" w:sz="0" w:space="0" w:color="auto"/>
            <w:bottom w:val="none" w:sz="0" w:space="0" w:color="auto"/>
            <w:right w:val="none" w:sz="0" w:space="0" w:color="auto"/>
          </w:divBdr>
        </w:div>
        <w:div w:id="730929415">
          <w:marLeft w:val="0"/>
          <w:marRight w:val="0"/>
          <w:marTop w:val="0"/>
          <w:marBottom w:val="0"/>
          <w:divBdr>
            <w:top w:val="none" w:sz="0" w:space="0" w:color="auto"/>
            <w:left w:val="none" w:sz="0" w:space="0" w:color="auto"/>
            <w:bottom w:val="none" w:sz="0" w:space="0" w:color="auto"/>
            <w:right w:val="none" w:sz="0" w:space="0" w:color="auto"/>
          </w:divBdr>
        </w:div>
        <w:div w:id="653680588">
          <w:marLeft w:val="0"/>
          <w:marRight w:val="0"/>
          <w:marTop w:val="0"/>
          <w:marBottom w:val="0"/>
          <w:divBdr>
            <w:top w:val="none" w:sz="0" w:space="0" w:color="auto"/>
            <w:left w:val="none" w:sz="0" w:space="0" w:color="auto"/>
            <w:bottom w:val="none" w:sz="0" w:space="0" w:color="auto"/>
            <w:right w:val="none" w:sz="0" w:space="0" w:color="auto"/>
          </w:divBdr>
        </w:div>
        <w:div w:id="1070612809">
          <w:marLeft w:val="0"/>
          <w:marRight w:val="0"/>
          <w:marTop w:val="0"/>
          <w:marBottom w:val="0"/>
          <w:divBdr>
            <w:top w:val="none" w:sz="0" w:space="0" w:color="auto"/>
            <w:left w:val="none" w:sz="0" w:space="0" w:color="auto"/>
            <w:bottom w:val="none" w:sz="0" w:space="0" w:color="auto"/>
            <w:right w:val="none" w:sz="0" w:space="0" w:color="auto"/>
          </w:divBdr>
        </w:div>
        <w:div w:id="429399506">
          <w:marLeft w:val="0"/>
          <w:marRight w:val="0"/>
          <w:marTop w:val="0"/>
          <w:marBottom w:val="0"/>
          <w:divBdr>
            <w:top w:val="none" w:sz="0" w:space="0" w:color="auto"/>
            <w:left w:val="none" w:sz="0" w:space="0" w:color="auto"/>
            <w:bottom w:val="none" w:sz="0" w:space="0" w:color="auto"/>
            <w:right w:val="none" w:sz="0" w:space="0" w:color="auto"/>
          </w:divBdr>
        </w:div>
        <w:div w:id="616714329">
          <w:marLeft w:val="0"/>
          <w:marRight w:val="0"/>
          <w:marTop w:val="0"/>
          <w:marBottom w:val="0"/>
          <w:divBdr>
            <w:top w:val="none" w:sz="0" w:space="0" w:color="auto"/>
            <w:left w:val="none" w:sz="0" w:space="0" w:color="auto"/>
            <w:bottom w:val="none" w:sz="0" w:space="0" w:color="auto"/>
            <w:right w:val="none" w:sz="0" w:space="0" w:color="auto"/>
          </w:divBdr>
        </w:div>
        <w:div w:id="56099473">
          <w:marLeft w:val="0"/>
          <w:marRight w:val="0"/>
          <w:marTop w:val="0"/>
          <w:marBottom w:val="0"/>
          <w:divBdr>
            <w:top w:val="none" w:sz="0" w:space="0" w:color="auto"/>
            <w:left w:val="none" w:sz="0" w:space="0" w:color="auto"/>
            <w:bottom w:val="none" w:sz="0" w:space="0" w:color="auto"/>
            <w:right w:val="none" w:sz="0" w:space="0" w:color="auto"/>
          </w:divBdr>
        </w:div>
        <w:div w:id="1815297405">
          <w:marLeft w:val="0"/>
          <w:marRight w:val="0"/>
          <w:marTop w:val="0"/>
          <w:marBottom w:val="0"/>
          <w:divBdr>
            <w:top w:val="none" w:sz="0" w:space="0" w:color="auto"/>
            <w:left w:val="none" w:sz="0" w:space="0" w:color="auto"/>
            <w:bottom w:val="none" w:sz="0" w:space="0" w:color="auto"/>
            <w:right w:val="none" w:sz="0" w:space="0" w:color="auto"/>
          </w:divBdr>
        </w:div>
        <w:div w:id="1945266473">
          <w:marLeft w:val="0"/>
          <w:marRight w:val="0"/>
          <w:marTop w:val="0"/>
          <w:marBottom w:val="0"/>
          <w:divBdr>
            <w:top w:val="none" w:sz="0" w:space="0" w:color="auto"/>
            <w:left w:val="none" w:sz="0" w:space="0" w:color="auto"/>
            <w:bottom w:val="none" w:sz="0" w:space="0" w:color="auto"/>
            <w:right w:val="none" w:sz="0" w:space="0" w:color="auto"/>
          </w:divBdr>
        </w:div>
        <w:div w:id="1901942151">
          <w:marLeft w:val="0"/>
          <w:marRight w:val="0"/>
          <w:marTop w:val="0"/>
          <w:marBottom w:val="0"/>
          <w:divBdr>
            <w:top w:val="none" w:sz="0" w:space="0" w:color="auto"/>
            <w:left w:val="none" w:sz="0" w:space="0" w:color="auto"/>
            <w:bottom w:val="none" w:sz="0" w:space="0" w:color="auto"/>
            <w:right w:val="none" w:sz="0" w:space="0" w:color="auto"/>
          </w:divBdr>
        </w:div>
        <w:div w:id="858812679">
          <w:marLeft w:val="0"/>
          <w:marRight w:val="0"/>
          <w:marTop w:val="0"/>
          <w:marBottom w:val="0"/>
          <w:divBdr>
            <w:top w:val="none" w:sz="0" w:space="0" w:color="auto"/>
            <w:left w:val="none" w:sz="0" w:space="0" w:color="auto"/>
            <w:bottom w:val="none" w:sz="0" w:space="0" w:color="auto"/>
            <w:right w:val="none" w:sz="0" w:space="0" w:color="auto"/>
          </w:divBdr>
        </w:div>
        <w:div w:id="1383752631">
          <w:marLeft w:val="0"/>
          <w:marRight w:val="0"/>
          <w:marTop w:val="0"/>
          <w:marBottom w:val="0"/>
          <w:divBdr>
            <w:top w:val="none" w:sz="0" w:space="0" w:color="auto"/>
            <w:left w:val="none" w:sz="0" w:space="0" w:color="auto"/>
            <w:bottom w:val="none" w:sz="0" w:space="0" w:color="auto"/>
            <w:right w:val="none" w:sz="0" w:space="0" w:color="auto"/>
          </w:divBdr>
        </w:div>
        <w:div w:id="331876484">
          <w:marLeft w:val="0"/>
          <w:marRight w:val="0"/>
          <w:marTop w:val="0"/>
          <w:marBottom w:val="0"/>
          <w:divBdr>
            <w:top w:val="none" w:sz="0" w:space="0" w:color="auto"/>
            <w:left w:val="none" w:sz="0" w:space="0" w:color="auto"/>
            <w:bottom w:val="none" w:sz="0" w:space="0" w:color="auto"/>
            <w:right w:val="none" w:sz="0" w:space="0" w:color="auto"/>
          </w:divBdr>
        </w:div>
        <w:div w:id="1227491861">
          <w:marLeft w:val="0"/>
          <w:marRight w:val="0"/>
          <w:marTop w:val="0"/>
          <w:marBottom w:val="0"/>
          <w:divBdr>
            <w:top w:val="none" w:sz="0" w:space="0" w:color="auto"/>
            <w:left w:val="none" w:sz="0" w:space="0" w:color="auto"/>
            <w:bottom w:val="none" w:sz="0" w:space="0" w:color="auto"/>
            <w:right w:val="none" w:sz="0" w:space="0" w:color="auto"/>
          </w:divBdr>
        </w:div>
        <w:div w:id="1203245865">
          <w:marLeft w:val="0"/>
          <w:marRight w:val="0"/>
          <w:marTop w:val="0"/>
          <w:marBottom w:val="0"/>
          <w:divBdr>
            <w:top w:val="none" w:sz="0" w:space="0" w:color="auto"/>
            <w:left w:val="none" w:sz="0" w:space="0" w:color="auto"/>
            <w:bottom w:val="none" w:sz="0" w:space="0" w:color="auto"/>
            <w:right w:val="none" w:sz="0" w:space="0" w:color="auto"/>
          </w:divBdr>
        </w:div>
      </w:divsChild>
    </w:div>
    <w:div w:id="740103128">
      <w:bodyDiv w:val="1"/>
      <w:marLeft w:val="0"/>
      <w:marRight w:val="0"/>
      <w:marTop w:val="0"/>
      <w:marBottom w:val="0"/>
      <w:divBdr>
        <w:top w:val="none" w:sz="0" w:space="0" w:color="auto"/>
        <w:left w:val="none" w:sz="0" w:space="0" w:color="auto"/>
        <w:bottom w:val="none" w:sz="0" w:space="0" w:color="auto"/>
        <w:right w:val="none" w:sz="0" w:space="0" w:color="auto"/>
      </w:divBdr>
    </w:div>
    <w:div w:id="773940891">
      <w:bodyDiv w:val="1"/>
      <w:marLeft w:val="0"/>
      <w:marRight w:val="0"/>
      <w:marTop w:val="0"/>
      <w:marBottom w:val="0"/>
      <w:divBdr>
        <w:top w:val="none" w:sz="0" w:space="0" w:color="auto"/>
        <w:left w:val="none" w:sz="0" w:space="0" w:color="auto"/>
        <w:bottom w:val="none" w:sz="0" w:space="0" w:color="auto"/>
        <w:right w:val="none" w:sz="0" w:space="0" w:color="auto"/>
      </w:divBdr>
      <w:divsChild>
        <w:div w:id="795877742">
          <w:marLeft w:val="0"/>
          <w:marRight w:val="0"/>
          <w:marTop w:val="0"/>
          <w:marBottom w:val="0"/>
          <w:divBdr>
            <w:top w:val="none" w:sz="0" w:space="0" w:color="auto"/>
            <w:left w:val="none" w:sz="0" w:space="0" w:color="auto"/>
            <w:bottom w:val="none" w:sz="0" w:space="0" w:color="auto"/>
            <w:right w:val="none" w:sz="0" w:space="0" w:color="auto"/>
          </w:divBdr>
        </w:div>
        <w:div w:id="77558336">
          <w:marLeft w:val="0"/>
          <w:marRight w:val="0"/>
          <w:marTop w:val="0"/>
          <w:marBottom w:val="0"/>
          <w:divBdr>
            <w:top w:val="none" w:sz="0" w:space="0" w:color="auto"/>
            <w:left w:val="none" w:sz="0" w:space="0" w:color="auto"/>
            <w:bottom w:val="none" w:sz="0" w:space="0" w:color="auto"/>
            <w:right w:val="none" w:sz="0" w:space="0" w:color="auto"/>
          </w:divBdr>
        </w:div>
      </w:divsChild>
    </w:div>
    <w:div w:id="864755799">
      <w:bodyDiv w:val="1"/>
      <w:marLeft w:val="0"/>
      <w:marRight w:val="0"/>
      <w:marTop w:val="0"/>
      <w:marBottom w:val="0"/>
      <w:divBdr>
        <w:top w:val="none" w:sz="0" w:space="0" w:color="auto"/>
        <w:left w:val="none" w:sz="0" w:space="0" w:color="auto"/>
        <w:bottom w:val="none" w:sz="0" w:space="0" w:color="auto"/>
        <w:right w:val="none" w:sz="0" w:space="0" w:color="auto"/>
      </w:divBdr>
    </w:div>
    <w:div w:id="998852934">
      <w:bodyDiv w:val="1"/>
      <w:marLeft w:val="0"/>
      <w:marRight w:val="0"/>
      <w:marTop w:val="0"/>
      <w:marBottom w:val="0"/>
      <w:divBdr>
        <w:top w:val="none" w:sz="0" w:space="0" w:color="auto"/>
        <w:left w:val="none" w:sz="0" w:space="0" w:color="auto"/>
        <w:bottom w:val="none" w:sz="0" w:space="0" w:color="auto"/>
        <w:right w:val="none" w:sz="0" w:space="0" w:color="auto"/>
      </w:divBdr>
    </w:div>
    <w:div w:id="1040595146">
      <w:bodyDiv w:val="1"/>
      <w:marLeft w:val="0"/>
      <w:marRight w:val="0"/>
      <w:marTop w:val="0"/>
      <w:marBottom w:val="0"/>
      <w:divBdr>
        <w:top w:val="none" w:sz="0" w:space="0" w:color="auto"/>
        <w:left w:val="none" w:sz="0" w:space="0" w:color="auto"/>
        <w:bottom w:val="none" w:sz="0" w:space="0" w:color="auto"/>
        <w:right w:val="none" w:sz="0" w:space="0" w:color="auto"/>
      </w:divBdr>
    </w:div>
    <w:div w:id="1258321220">
      <w:bodyDiv w:val="1"/>
      <w:marLeft w:val="0"/>
      <w:marRight w:val="0"/>
      <w:marTop w:val="0"/>
      <w:marBottom w:val="0"/>
      <w:divBdr>
        <w:top w:val="none" w:sz="0" w:space="0" w:color="auto"/>
        <w:left w:val="none" w:sz="0" w:space="0" w:color="auto"/>
        <w:bottom w:val="none" w:sz="0" w:space="0" w:color="auto"/>
        <w:right w:val="none" w:sz="0" w:space="0" w:color="auto"/>
      </w:divBdr>
    </w:div>
    <w:div w:id="1264262919">
      <w:bodyDiv w:val="1"/>
      <w:marLeft w:val="0"/>
      <w:marRight w:val="0"/>
      <w:marTop w:val="0"/>
      <w:marBottom w:val="0"/>
      <w:divBdr>
        <w:top w:val="none" w:sz="0" w:space="0" w:color="auto"/>
        <w:left w:val="none" w:sz="0" w:space="0" w:color="auto"/>
        <w:bottom w:val="none" w:sz="0" w:space="0" w:color="auto"/>
        <w:right w:val="none" w:sz="0" w:space="0" w:color="auto"/>
      </w:divBdr>
    </w:div>
    <w:div w:id="1285500882">
      <w:bodyDiv w:val="1"/>
      <w:marLeft w:val="0"/>
      <w:marRight w:val="0"/>
      <w:marTop w:val="0"/>
      <w:marBottom w:val="0"/>
      <w:divBdr>
        <w:top w:val="none" w:sz="0" w:space="0" w:color="auto"/>
        <w:left w:val="none" w:sz="0" w:space="0" w:color="auto"/>
        <w:bottom w:val="none" w:sz="0" w:space="0" w:color="auto"/>
        <w:right w:val="none" w:sz="0" w:space="0" w:color="auto"/>
      </w:divBdr>
    </w:div>
    <w:div w:id="154325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22772-A25A-42D5-8CB1-988F5E2C0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1851</Words>
  <Characters>10000</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Robson Serafim</dc:creator>
  <cp:keywords/>
  <dc:description/>
  <cp:lastModifiedBy>Fernando Sedrez</cp:lastModifiedBy>
  <cp:revision>6</cp:revision>
  <cp:lastPrinted>2025-12-15T14:21:00Z</cp:lastPrinted>
  <dcterms:created xsi:type="dcterms:W3CDTF">2026-06-19T14:45:00Z</dcterms:created>
  <dcterms:modified xsi:type="dcterms:W3CDTF">2026-06-22T13:03:00Z</dcterms:modified>
</cp:coreProperties>
</file>